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247D" w:rsidRDefault="0086247D">
      <w:pPr>
        <w:rPr>
          <w:sz w:val="22"/>
          <w:szCs w:val="22"/>
        </w:rPr>
      </w:pPr>
    </w:p>
    <w:p w:rsidR="0086247D" w:rsidRDefault="00FD1535">
      <w:pPr>
        <w:jc w:val="center"/>
      </w:pPr>
      <w:r>
        <w:t xml:space="preserve">PROYECTO DE ACUERDO No. </w:t>
      </w:r>
      <w:r w:rsidR="003A1570">
        <w:t>948</w:t>
      </w:r>
      <w:bookmarkStart w:id="0" w:name="_GoBack"/>
      <w:bookmarkEnd w:id="0"/>
      <w:r>
        <w:t xml:space="preserve"> DE  2025</w:t>
      </w:r>
    </w:p>
    <w:p w:rsidR="0086247D" w:rsidRDefault="0086247D"/>
    <w:p w:rsidR="0086247D" w:rsidRDefault="0086247D">
      <w:pPr>
        <w:jc w:val="both"/>
      </w:pPr>
    </w:p>
    <w:p w:rsidR="0086247D" w:rsidRDefault="0086247D">
      <w:pPr>
        <w:jc w:val="both"/>
        <w:rPr>
          <w:b/>
        </w:rPr>
      </w:pPr>
    </w:p>
    <w:p w:rsidR="0086247D" w:rsidRPr="00980BE7" w:rsidRDefault="00980BE7">
      <w:pPr>
        <w:jc w:val="both"/>
        <w:rPr>
          <w:b/>
        </w:rPr>
      </w:pPr>
      <w:bookmarkStart w:id="1" w:name="_heading=h.gjdgxs" w:colFirst="0" w:colLast="0"/>
      <w:bookmarkEnd w:id="1"/>
      <w:r w:rsidRPr="00980BE7">
        <w:rPr>
          <w:b/>
        </w:rPr>
        <w:t>“POR MEDIO DEL CUAL SE FOMENTA LA LUCHA CONTRA EL ANTISEMITISMO Y LA DISCRIMINACIÓN EN TODAS SUS FORMAS A PERSONAS PARTE DE LA COMUNIDAD JUDÍA EN BOGOTÁ”</w:t>
      </w:r>
    </w:p>
    <w:p w:rsidR="0086247D" w:rsidRDefault="0086247D">
      <w:pPr>
        <w:jc w:val="both"/>
      </w:pPr>
    </w:p>
    <w:p w:rsidR="0086247D" w:rsidRDefault="0086247D">
      <w:pPr>
        <w:jc w:val="both"/>
      </w:pPr>
    </w:p>
    <w:p w:rsidR="0086247D" w:rsidRDefault="00FD1535">
      <w:pPr>
        <w:jc w:val="center"/>
        <w:rPr>
          <w:b/>
        </w:rPr>
      </w:pPr>
      <w:r>
        <w:rPr>
          <w:b/>
        </w:rPr>
        <w:t xml:space="preserve">EXPOSICIÓN DE MOTIVOS </w:t>
      </w:r>
    </w:p>
    <w:p w:rsidR="0086247D" w:rsidRDefault="0086247D">
      <w:pPr>
        <w:jc w:val="both"/>
      </w:pPr>
    </w:p>
    <w:p w:rsidR="0086247D" w:rsidRDefault="00FD1535">
      <w:pPr>
        <w:jc w:val="both"/>
      </w:pPr>
      <w:r>
        <w:t xml:space="preserve">El presente proyecto de acuerdo busca fomentar la lucha contra el antisemitismo y la discriminación en todas sus formas a personas parte de la comunidad judía, toda vez que durante el año 2023 las acciones de odio en contra de esta población revelaron un incremento expresado en dos ataques a la embajada de Israel en Colombia y muestras públicas de antisemitismo y </w:t>
      </w:r>
      <w:proofErr w:type="spellStart"/>
      <w:r>
        <w:t>antisionismo</w:t>
      </w:r>
      <w:proofErr w:type="spellEnd"/>
      <w:r>
        <w:t xml:space="preserve"> a partir de símbolos en diversas manifestaciones en la ciudad de Bogotá. </w:t>
      </w:r>
    </w:p>
    <w:p w:rsidR="0086247D" w:rsidRDefault="0086247D">
      <w:pPr>
        <w:jc w:val="both"/>
      </w:pPr>
    </w:p>
    <w:p w:rsidR="0086247D" w:rsidRDefault="00FD1535">
      <w:pPr>
        <w:numPr>
          <w:ilvl w:val="0"/>
          <w:numId w:val="4"/>
        </w:numPr>
        <w:jc w:val="both"/>
        <w:rPr>
          <w:b/>
        </w:rPr>
      </w:pPr>
      <w:r>
        <w:rPr>
          <w:b/>
        </w:rPr>
        <w:t>CONTEXTO</w:t>
      </w:r>
    </w:p>
    <w:p w:rsidR="0086247D" w:rsidRDefault="0086247D">
      <w:pPr>
        <w:jc w:val="both"/>
        <w:rPr>
          <w:b/>
        </w:rPr>
      </w:pPr>
    </w:p>
    <w:p w:rsidR="0086247D" w:rsidRDefault="00FD1535">
      <w:pPr>
        <w:jc w:val="both"/>
      </w:pPr>
      <w:r>
        <w:t xml:space="preserve">Es menester resaltar que en Colombia y en Bogotá las muestras de acciones de odio hacia la población judía no son algo nuevo. Por lo que, en este apartado se pretende brindar un contexto general del origen de la discusión que ha llevado al ataque por parte de muchos hacia la población judía y hacia el Estado de Israel. De esta manera, se presentará un contexto general internacional del Estado de Israel, un breve contexto nacional frente a la migración de población judía y los comportamientos de odio desatados por la población local y finalizará en las acciones antisemitas que se han visto en la ciudad de Bogotá. </w:t>
      </w:r>
    </w:p>
    <w:p w:rsidR="0086247D" w:rsidRDefault="0086247D">
      <w:pPr>
        <w:jc w:val="both"/>
      </w:pPr>
    </w:p>
    <w:p w:rsidR="0086247D" w:rsidRDefault="00FD1535">
      <w:pPr>
        <w:jc w:val="both"/>
        <w:rPr>
          <w:b/>
        </w:rPr>
      </w:pPr>
      <w:r>
        <w:rPr>
          <w:b/>
        </w:rPr>
        <w:t>Internacional:</w:t>
      </w:r>
    </w:p>
    <w:p w:rsidR="0086247D" w:rsidRDefault="0086247D">
      <w:pPr>
        <w:jc w:val="both"/>
        <w:rPr>
          <w:b/>
        </w:rPr>
      </w:pPr>
    </w:p>
    <w:p w:rsidR="0086247D" w:rsidRDefault="00FD1535">
      <w:pPr>
        <w:jc w:val="both"/>
      </w:pPr>
      <w:r>
        <w:t xml:space="preserve">Entendiendo la búsqueda de un mundo en paz, uno de los grandes retos de la comunidad internacional se encuentra enmarcado en la resolución del conflicto entre el Estado de Israel y Palestina. Cabe aclarar que este se ha mantenido desde hace más de 70 años tras la declaratoria de independencia de Israel, nación que desde sus comienzos ha sido atacada, lo que ha llevado al Estado de Israel a defender su soberanía desde que ésta fue recién recobrada en su patria ancestral. </w:t>
      </w:r>
    </w:p>
    <w:p w:rsidR="0086247D" w:rsidRDefault="0086247D">
      <w:pPr>
        <w:jc w:val="both"/>
      </w:pPr>
    </w:p>
    <w:p w:rsidR="0086247D" w:rsidRDefault="00FD1535">
      <w:pPr>
        <w:jc w:val="both"/>
      </w:pPr>
      <w:r>
        <w:lastRenderedPageBreak/>
        <w:t>Así, desde ese primer momento, el Estado de Israel ha mantenido negociaciones directas con cada uno de los países invasores</w:t>
      </w:r>
      <w:r>
        <w:rPr>
          <w:vertAlign w:val="superscript"/>
        </w:rPr>
        <w:footnoteReference w:id="1"/>
      </w:r>
      <w:r>
        <w:t xml:space="preserve">, con el apoyo de la Organización de Naciones Unidas - en adelante ONU-. </w:t>
      </w:r>
      <w:r>
        <w:rPr>
          <w:vertAlign w:val="superscript"/>
        </w:rPr>
        <w:footnoteReference w:id="2"/>
      </w:r>
    </w:p>
    <w:p w:rsidR="0086247D" w:rsidRDefault="0086247D">
      <w:pPr>
        <w:jc w:val="both"/>
      </w:pPr>
    </w:p>
    <w:p w:rsidR="0086247D" w:rsidRDefault="00FD1535">
      <w:pPr>
        <w:jc w:val="both"/>
      </w:pPr>
      <w:r>
        <w:t xml:space="preserve">Es importante recordar que el Proyecto del </w:t>
      </w:r>
      <w:r>
        <w:rPr>
          <w:i/>
        </w:rPr>
        <w:t>Estado de Israel</w:t>
      </w:r>
      <w:r>
        <w:t xml:space="preserve"> nace tras la denominada </w:t>
      </w:r>
      <w:r>
        <w:rPr>
          <w:i/>
        </w:rPr>
        <w:t>Diáspora Judía</w:t>
      </w:r>
      <w:r>
        <w:t xml:space="preserve">, en la cual a lo largo de la historia miles de </w:t>
      </w:r>
      <w:proofErr w:type="gramStart"/>
      <w:r>
        <w:t>Hebreos</w:t>
      </w:r>
      <w:proofErr w:type="gramEnd"/>
      <w:r>
        <w:t xml:space="preserve"> abandonaron lo que sería conocido como Palestina, generando un fenómeno migratorio que determinaría la concentración de judíos en Europa y sus colonias y en el norte de </w:t>
      </w:r>
      <w:proofErr w:type="spellStart"/>
      <w:r>
        <w:t>Africa</w:t>
      </w:r>
      <w:proofErr w:type="spellEnd"/>
      <w:r>
        <w:t>. Frente a esto, la denominada diáspora desencadenó en múltiples ocasiones persecución y masacres dirigidas hacia la población judía</w:t>
      </w:r>
      <w:r>
        <w:rPr>
          <w:vertAlign w:val="superscript"/>
        </w:rPr>
        <w:footnoteReference w:id="3"/>
      </w:r>
      <w:r>
        <w:t xml:space="preserve">. </w:t>
      </w:r>
    </w:p>
    <w:p w:rsidR="0086247D" w:rsidRDefault="0086247D">
      <w:pPr>
        <w:jc w:val="both"/>
      </w:pPr>
    </w:p>
    <w:p w:rsidR="0086247D" w:rsidRDefault="00FD1535">
      <w:pPr>
        <w:jc w:val="both"/>
      </w:pPr>
      <w:r>
        <w:t xml:space="preserve">De esta manera, finalizando el siglo XIX, la diáspora judía sufrió un incremento en las acciones antisemitas en el imperio ruso, por lo que la Organización Sionista Mundial- en adelante OSM- negoció un plan para el reasentamiento temporal del pueblo judío con el objetivo de que no se extendiera el </w:t>
      </w:r>
      <w:r>
        <w:rPr>
          <w:i/>
        </w:rPr>
        <w:t>odio antisemita</w:t>
      </w:r>
      <w:r>
        <w:t xml:space="preserve">. De esta idea inicial, se planteó el reasentamiento de esta población en África, Ucrania, Crimea, Madagascar, Alaska, Guyana, Australia, y Prusia Oriental. </w:t>
      </w:r>
    </w:p>
    <w:p w:rsidR="0086247D" w:rsidRDefault="0086247D">
      <w:pPr>
        <w:jc w:val="both"/>
      </w:pPr>
    </w:p>
    <w:p w:rsidR="0086247D" w:rsidRDefault="00FD1535">
      <w:pPr>
        <w:jc w:val="both"/>
      </w:pPr>
      <w:r>
        <w:t xml:space="preserve">Tras el nuevo fenómeno migratorio que se presentó después de la segunda guerra mundial por el denominado Holocausto, del cual fue víctima el pueblo judío y del que se calcula que fueron asesinados más de 6 millones de personas pertenecientes a esta comunidad, un gran número de hebreos se asentaron en Palestina. Ante esto, la ONU hace la antesala para la Resolución 181 en la cual se acordaba el Plan de Naciones Unidas para la partición de Palestina como la solución al conflicto. De ello, la ONU emitió otras dos resoluciones, a saber, la 194 de 1949 y la 3236 de 1974. </w:t>
      </w:r>
    </w:p>
    <w:p w:rsidR="0086247D" w:rsidRDefault="0086247D">
      <w:pPr>
        <w:jc w:val="both"/>
      </w:pPr>
    </w:p>
    <w:p w:rsidR="0086247D" w:rsidRDefault="00FD1535">
      <w:pPr>
        <w:jc w:val="both"/>
      </w:pPr>
      <w:r>
        <w:t xml:space="preserve">Paralelo a esto, en distintas ocasiones los Estados vecinos a Israel han atacado su territorio, en esta vía, los ataques terroristas de grupos musulmanes y palestinos </w:t>
      </w:r>
      <w:r>
        <w:lastRenderedPageBreak/>
        <w:t xml:space="preserve">han sido una constante. Cabe aclarar, que el terrorismo en la región ha existido incluso antes de la instauración del Estado de Israel. No </w:t>
      </w:r>
      <w:proofErr w:type="gramStart"/>
      <w:r>
        <w:t>obstante</w:t>
      </w:r>
      <w:proofErr w:type="gramEnd"/>
      <w:r>
        <w:t xml:space="preserve"> a ello, pese a que en 1993 se sentaron las bases para el proceso de paz entre Israel y Palestina con el compromiso de estos últimos de renunciar a la violencia, Israel siguió siendo foco de ataques. </w:t>
      </w:r>
    </w:p>
    <w:p w:rsidR="0086247D" w:rsidRDefault="0086247D">
      <w:pPr>
        <w:jc w:val="both"/>
      </w:pPr>
    </w:p>
    <w:p w:rsidR="0086247D" w:rsidRDefault="00FD1535">
      <w:pPr>
        <w:jc w:val="both"/>
      </w:pPr>
      <w:r>
        <w:t>Así, desde Colombia se han mantenido relaciones con el Estado de Israel que datan desde el año 1957</w:t>
      </w:r>
      <w:r>
        <w:rPr>
          <w:vertAlign w:val="superscript"/>
        </w:rPr>
        <w:footnoteReference w:id="4"/>
      </w:r>
      <w:r>
        <w:t xml:space="preserve"> y está marcada en 1965 con el primer convenio de cooperación técnica, 1986 con el Convenio de Intercambio Comercial y Económico, el Acuerdo de Cooperación entre el Instituto de Exportaciones de Israel y </w:t>
      </w:r>
      <w:proofErr w:type="spellStart"/>
      <w:r>
        <w:t>Proexport</w:t>
      </w:r>
      <w:proofErr w:type="spellEnd"/>
      <w:r>
        <w:t xml:space="preserve"> en 1997, el Acuerdo sobre Cooperación Bilateral en Investigación y Desarrollo Industrial en 2015,  el Tratado de Libre Comercio entre la República de Colombia y el Estado de Israel de 2020, entre otros. </w:t>
      </w:r>
    </w:p>
    <w:p w:rsidR="0086247D" w:rsidRDefault="0086247D">
      <w:pPr>
        <w:jc w:val="both"/>
      </w:pPr>
    </w:p>
    <w:p w:rsidR="0086247D" w:rsidRDefault="00FD1535">
      <w:pPr>
        <w:jc w:val="both"/>
      </w:pPr>
      <w:r>
        <w:t xml:space="preserve">No obstante, las relaciones internacionales entre Colombia e Israel han sufrido golpes debido a  que desde el Gobierno Nacional de Colombia, durante el año 2023, se hicieron algunas aseveraciones en torno al conflicto en la Franja de Gaza entre Israel y el grupo terrorista Hamás, las cuales fueron catalogadas como antisemitas por el embajador de Israel en Colombia y el vocero del Ministerio de Relaciones Exteriores israelí, determinando con ello la detención de exportaciones de seguridad de Israel a Colombia. </w:t>
      </w:r>
    </w:p>
    <w:p w:rsidR="0086247D" w:rsidRDefault="0086247D">
      <w:pPr>
        <w:jc w:val="both"/>
      </w:pPr>
    </w:p>
    <w:p w:rsidR="0086247D" w:rsidRDefault="00FD1535">
      <w:pPr>
        <w:jc w:val="both"/>
        <w:rPr>
          <w:b/>
        </w:rPr>
      </w:pPr>
      <w:r>
        <w:rPr>
          <w:b/>
        </w:rPr>
        <w:t xml:space="preserve">Nacional: </w:t>
      </w:r>
    </w:p>
    <w:p w:rsidR="0086247D" w:rsidRDefault="0086247D">
      <w:pPr>
        <w:jc w:val="both"/>
      </w:pPr>
    </w:p>
    <w:p w:rsidR="0086247D" w:rsidRDefault="00FD1535">
      <w:pPr>
        <w:jc w:val="both"/>
      </w:pPr>
      <w:r>
        <w:t xml:space="preserve">Por su parte, en Colombia se evidencia el resultado de estos procesos migratorios con la llegada de judíos principalmente de Europa desde la </w:t>
      </w:r>
      <w:proofErr w:type="spellStart"/>
      <w:r>
        <w:t>decada</w:t>
      </w:r>
      <w:proofErr w:type="spellEnd"/>
      <w:r>
        <w:t xml:space="preserve"> de 1930</w:t>
      </w:r>
      <w:r>
        <w:rPr>
          <w:vertAlign w:val="superscript"/>
        </w:rPr>
        <w:footnoteReference w:id="5"/>
      </w:r>
      <w:r>
        <w:t xml:space="preserve">. De esto, Colombia, aunque ya había recibido algunos vistazos de migración judía descendiente de la generación expulsada de España, recibió un mayor número de migrantes provenientes de Polonia, país que atravesaba una crisis económica para ese momento, y de Alemania, durante el Tercer Reich. </w:t>
      </w:r>
    </w:p>
    <w:p w:rsidR="0086247D" w:rsidRDefault="00FD1535">
      <w:pPr>
        <w:jc w:val="both"/>
      </w:pPr>
      <w:r>
        <w:t xml:space="preserve">Para esta época, la filosofía antisemita del partido Nacional Socialista de Alemania fue promovida en más de 30 países, dentro de los cuales estuvo Colombia, </w:t>
      </w:r>
      <w:proofErr w:type="gramStart"/>
      <w:r>
        <w:t>donde  se</w:t>
      </w:r>
      <w:proofErr w:type="gramEnd"/>
      <w:r>
        <w:t xml:space="preserve"> encontró una </w:t>
      </w:r>
      <w:proofErr w:type="spellStart"/>
      <w:r>
        <w:t>celula</w:t>
      </w:r>
      <w:proofErr w:type="spellEnd"/>
      <w:r>
        <w:t xml:space="preserve"> de este partido con más de 300 miembros. Esto, sumado a un discurso antijudío que se acrecentaba por los rumores </w:t>
      </w:r>
      <w:proofErr w:type="spellStart"/>
      <w:r>
        <w:t>internacionalaes</w:t>
      </w:r>
      <w:proofErr w:type="spellEnd"/>
      <w:r>
        <w:t xml:space="preserve"> y que incluso, llevarían a que el </w:t>
      </w:r>
      <w:proofErr w:type="spellStart"/>
      <w:r>
        <w:t>Consul</w:t>
      </w:r>
      <w:proofErr w:type="spellEnd"/>
      <w:r>
        <w:t xml:space="preserve"> de Colombia en Varsovia enviara un informe afirmando que “todas esas personas son de raza judía, raza que precisamente provoca conflictos en todos los países, desde antiguo y es en </w:t>
      </w:r>
      <w:proofErr w:type="gramStart"/>
      <w:r>
        <w:t>muchos considerada indeseable</w:t>
      </w:r>
      <w:proofErr w:type="gramEnd"/>
      <w:r>
        <w:t xml:space="preserve">” (Citado por </w:t>
      </w:r>
      <w:proofErr w:type="spellStart"/>
      <w:r>
        <w:t>Op.cit</w:t>
      </w:r>
      <w:proofErr w:type="spellEnd"/>
      <w:r>
        <w:t xml:space="preserve">. AMRE. Consulado de Colombia en Polonia-Varsovia, oficio 17.). </w:t>
      </w:r>
    </w:p>
    <w:p w:rsidR="0086247D" w:rsidRDefault="0086247D">
      <w:pPr>
        <w:jc w:val="both"/>
      </w:pPr>
    </w:p>
    <w:p w:rsidR="0086247D" w:rsidRDefault="00FD1535">
      <w:pPr>
        <w:jc w:val="both"/>
      </w:pPr>
      <w:r>
        <w:t xml:space="preserve">De esta manera, con la expansión del discurso de una “raza indeseable” en Colombia, apoyado por la prensa y los comerciantes colombianos que veían a los judíos migrantes como una amenaza, las Cámaras de Comercio de distintas ciudades, incluyendo la de Bogotá, pedían poner límites a la inmigración “indeseable” especialmente en lo referido a esta población. </w:t>
      </w:r>
    </w:p>
    <w:p w:rsidR="0086247D" w:rsidRDefault="0086247D">
      <w:pPr>
        <w:jc w:val="both"/>
      </w:pPr>
    </w:p>
    <w:p w:rsidR="0086247D" w:rsidRDefault="00FD1535">
      <w:pPr>
        <w:jc w:val="both"/>
      </w:pPr>
      <w:r>
        <w:t xml:space="preserve">En concordancia con este fenómeno antisemita que se estaba presentando en el país, empieza a circular el libro “Colombia ante los Judíos”, el </w:t>
      </w:r>
      <w:proofErr w:type="spellStart"/>
      <w:r>
        <w:t>cuál</w:t>
      </w:r>
      <w:proofErr w:type="spellEnd"/>
      <w:r>
        <w:t xml:space="preserve">, basado en los </w:t>
      </w:r>
      <w:proofErr w:type="spellStart"/>
      <w:r>
        <w:rPr>
          <w:i/>
        </w:rPr>
        <w:t>Los</w:t>
      </w:r>
      <w:proofErr w:type="spellEnd"/>
      <w:r>
        <w:rPr>
          <w:i/>
        </w:rPr>
        <w:t xml:space="preserve"> Protocolos de Los Sabios de </w:t>
      </w:r>
      <w:proofErr w:type="spellStart"/>
      <w:r>
        <w:rPr>
          <w:i/>
        </w:rPr>
        <w:t>Sión</w:t>
      </w:r>
      <w:proofErr w:type="spellEnd"/>
      <w:r>
        <w:rPr>
          <w:i/>
          <w:vertAlign w:val="superscript"/>
        </w:rPr>
        <w:footnoteReference w:id="6"/>
      </w:r>
      <w:r>
        <w:t xml:space="preserve">, hablaba de una invasión judía, que se había dado principalmente en la ciudad de Bogotá, y llegando a afirmar que la ciudad era el “epicentro de las actividades israelitas” teniendo como ubicación predilecta la avenida carrera séptima entre calles 16 y 22, en la que se ubicaron una gran parte de los negocios exitosos cuyos dueños eran judíos migrantes. Fruto de esto, en 1936 se promovió una manifestación antisemita sobre la carrera séptima en la que se expresaba el mensaje “abajo los judíos” (Leal, 2015). </w:t>
      </w:r>
    </w:p>
    <w:p w:rsidR="0086247D" w:rsidRDefault="0086247D">
      <w:pPr>
        <w:jc w:val="both"/>
      </w:pPr>
    </w:p>
    <w:p w:rsidR="0086247D" w:rsidRDefault="00FD1535">
      <w:pPr>
        <w:jc w:val="both"/>
      </w:pPr>
      <w:r>
        <w:t xml:space="preserve">Tras esto, en el país se impulsaron una serie de medidas restrictivas legislativas, sociales, políticas, económicas y culturales contra los judíos, iniciando por medidas que incluían a los provenientes de Polonia y luego con medidas con los provenientes de Alemania (Leal, 2015). </w:t>
      </w:r>
    </w:p>
    <w:p w:rsidR="0086247D" w:rsidRDefault="0086247D">
      <w:pPr>
        <w:jc w:val="both"/>
      </w:pPr>
    </w:p>
    <w:p w:rsidR="0086247D" w:rsidRDefault="00FD1535">
      <w:pPr>
        <w:jc w:val="both"/>
      </w:pPr>
      <w:r>
        <w:t xml:space="preserve">Así, las acciones antisemitas en el país se fueron incrementando en todos los ámbitos, llegando a la prensa, quienes además de validar escritos generadores de odio, empezaron a publicar caricaturas que mostraban a los judíos como animales o plagas, validando con ello su desprecio, algo que mutó para el periodo postguerra, pero que de igual forma se siguió presentando. Por ejemplo, desde el año 1943 se presentaban publicaciones denominadas “Frente Único” en el cual por medio de volantes o pasquines se presentaban mensajes antisemitas (Leal, 2015). </w:t>
      </w:r>
    </w:p>
    <w:p w:rsidR="0086247D" w:rsidRDefault="0086247D">
      <w:pPr>
        <w:jc w:val="both"/>
      </w:pPr>
    </w:p>
    <w:p w:rsidR="0086247D" w:rsidRDefault="00FD1535">
      <w:pPr>
        <w:jc w:val="both"/>
      </w:pPr>
      <w:r>
        <w:t xml:space="preserve">No obstante, tras la instauración del Estado de Israel, el 14 de mayo de 1948, la inmigración masiva de judíos a Colombia y otros países de la región menguó. Esto, sumado a un cambio de discurso internacional que condenaba lo sucedido en la segunda guerra mundial en contra de la población judía y el acercamiento de estos a los demás ciudadanos en Colombia, se empezaron a evidenciar algunos cambios positivos en esta materia, conllevando a que las relaciones entre migrantes y colombianos mejorara. </w:t>
      </w:r>
    </w:p>
    <w:p w:rsidR="0086247D" w:rsidRDefault="0086247D">
      <w:pPr>
        <w:jc w:val="both"/>
      </w:pPr>
    </w:p>
    <w:p w:rsidR="0086247D" w:rsidRDefault="00FD1535">
      <w:pPr>
        <w:jc w:val="both"/>
      </w:pPr>
      <w:r>
        <w:t xml:space="preserve">No obstante, debido a los fenómenos de violencia que se vivieron al interior del país, principalmente durante la década de los 70, miembros de la comunidad judía en Colombia fueron también blanco de secuestro, delito que marcó una gran relevancia en el financiamiento de guerrillas. Motivados por esto, muchos judíos prefirieron enviar sus hijos a estudiar en el exterior y junto a este fenómeno la población israelí empezó a bajar su número en el país. </w:t>
      </w:r>
    </w:p>
    <w:p w:rsidR="0086247D" w:rsidRDefault="0086247D">
      <w:pPr>
        <w:jc w:val="both"/>
      </w:pPr>
    </w:p>
    <w:p w:rsidR="0086247D" w:rsidRDefault="00FD1535">
      <w:pPr>
        <w:jc w:val="both"/>
      </w:pPr>
      <w:r>
        <w:t>Adicionalmente, frente al conflicto armado interno en Colombia, la organización guerrillera urbana Movimiento 19 de abril (M-19) tomó partido en el conflicto entre Israel y Palestina, mostrando su apoyo a la Organización para la Liberación Palestina mediante un atentado a la Embajada de Israel en Bogotá en el año 1981 y un segundo ataque en el año 1982 con una bazuca</w:t>
      </w:r>
      <w:r>
        <w:rPr>
          <w:vertAlign w:val="superscript"/>
        </w:rPr>
        <w:footnoteReference w:id="7"/>
      </w:r>
      <w:r>
        <w:t xml:space="preserve"> (Semana, 2023). </w:t>
      </w:r>
    </w:p>
    <w:p w:rsidR="0086247D" w:rsidRDefault="0086247D">
      <w:pPr>
        <w:jc w:val="both"/>
      </w:pPr>
    </w:p>
    <w:p w:rsidR="0086247D" w:rsidRDefault="00FD1535">
      <w:pPr>
        <w:jc w:val="both"/>
      </w:pPr>
      <w:r>
        <w:t xml:space="preserve">De esto, es importante recalcar que esta guerrilla recibió entrenamiento en la República </w:t>
      </w:r>
      <w:proofErr w:type="spellStart"/>
      <w:r>
        <w:t>Arabe</w:t>
      </w:r>
      <w:proofErr w:type="spellEnd"/>
      <w:r>
        <w:t xml:space="preserve"> de Libia, país donde surge el partido político y milicia islamista </w:t>
      </w:r>
      <w:proofErr w:type="spellStart"/>
      <w:r>
        <w:t>Hesbolá</w:t>
      </w:r>
      <w:proofErr w:type="spellEnd"/>
      <w:r>
        <w:t xml:space="preserve"> que se ha enfrentado desde sus inicios al Estado de Israel y cuyo secretario general ha manifestado que </w:t>
      </w:r>
      <w:proofErr w:type="spellStart"/>
      <w:r>
        <w:t>Hezbollah</w:t>
      </w:r>
      <w:proofErr w:type="spellEnd"/>
      <w:r>
        <w:t xml:space="preserve"> “eliminaría todo rastro de Israel”</w:t>
      </w:r>
      <w:r>
        <w:rPr>
          <w:vertAlign w:val="superscript"/>
        </w:rPr>
        <w:footnoteReference w:id="8"/>
      </w:r>
      <w:r>
        <w:t xml:space="preserve"> (López, 2021). </w:t>
      </w:r>
    </w:p>
    <w:p w:rsidR="0086247D" w:rsidRDefault="0086247D">
      <w:pPr>
        <w:jc w:val="both"/>
      </w:pPr>
    </w:p>
    <w:p w:rsidR="0086247D" w:rsidRDefault="00FD1535">
      <w:pPr>
        <w:jc w:val="both"/>
      </w:pPr>
      <w:r>
        <w:t xml:space="preserve">La situación en el </w:t>
      </w:r>
      <w:proofErr w:type="spellStart"/>
      <w:r>
        <w:t>pais</w:t>
      </w:r>
      <w:proofErr w:type="spellEnd"/>
      <w:r>
        <w:t xml:space="preserve"> se intensificó en 1998 con el secuestro y asesinato de Benjamín </w:t>
      </w:r>
      <w:proofErr w:type="spellStart"/>
      <w:r>
        <w:t>Khoudari</w:t>
      </w:r>
      <w:proofErr w:type="spellEnd"/>
      <w:r>
        <w:t>, miembro de la comunidad sefardí de Cali</w:t>
      </w:r>
      <w:r>
        <w:rPr>
          <w:vertAlign w:val="superscript"/>
        </w:rPr>
        <w:footnoteReference w:id="9"/>
      </w:r>
      <w:r>
        <w:t xml:space="preserve">, según </w:t>
      </w:r>
      <w:proofErr w:type="spellStart"/>
      <w:r>
        <w:t>Bibliowicz</w:t>
      </w:r>
      <w:proofErr w:type="spellEnd"/>
      <w:r>
        <w:t xml:space="preserve"> (2001) esto conllevó un fenómeno de emigración en el que: </w:t>
      </w:r>
    </w:p>
    <w:p w:rsidR="0086247D" w:rsidRDefault="0086247D">
      <w:pPr>
        <w:jc w:val="both"/>
      </w:pPr>
    </w:p>
    <w:p w:rsidR="0086247D" w:rsidRDefault="00FD1535">
      <w:pPr>
        <w:ind w:left="720"/>
        <w:jc w:val="both"/>
      </w:pPr>
      <w:r>
        <w:rPr>
          <w:i/>
          <w:sz w:val="22"/>
          <w:szCs w:val="22"/>
        </w:rPr>
        <w:t xml:space="preserve">Se calcula que el Centro Israelita de Bogotá, la institución más numerosa de la ciudad perdió un 25% de sus miembros, la Comunidad Hebrea Sefardí de Bogotá cerca de un 30% y la Asociación Israelita </w:t>
      </w:r>
      <w:proofErr w:type="spellStart"/>
      <w:r>
        <w:rPr>
          <w:i/>
          <w:sz w:val="22"/>
          <w:szCs w:val="22"/>
        </w:rPr>
        <w:t>Montefiore</w:t>
      </w:r>
      <w:proofErr w:type="spellEnd"/>
      <w:r>
        <w:rPr>
          <w:i/>
          <w:sz w:val="22"/>
          <w:szCs w:val="22"/>
        </w:rPr>
        <w:t xml:space="preserve">, la comunidad más liberal y de origen alemán, un 15% de sus miembros. El Carmel Club Campestre pasó de </w:t>
      </w:r>
      <w:proofErr w:type="gramStart"/>
      <w:r>
        <w:rPr>
          <w:i/>
          <w:sz w:val="22"/>
          <w:szCs w:val="22"/>
        </w:rPr>
        <w:t>550  familias</w:t>
      </w:r>
      <w:proofErr w:type="gramEnd"/>
      <w:r>
        <w:rPr>
          <w:i/>
          <w:sz w:val="22"/>
          <w:szCs w:val="22"/>
        </w:rPr>
        <w:t xml:space="preserve"> asociadas para solo contar con 265 socios. (</w:t>
      </w:r>
      <w:proofErr w:type="spellStart"/>
      <w:r>
        <w:rPr>
          <w:i/>
          <w:sz w:val="22"/>
          <w:szCs w:val="22"/>
        </w:rPr>
        <w:t>Bilbiowicz</w:t>
      </w:r>
      <w:proofErr w:type="spellEnd"/>
      <w:r>
        <w:rPr>
          <w:i/>
          <w:sz w:val="22"/>
          <w:szCs w:val="22"/>
        </w:rPr>
        <w:t>, 2001)</w:t>
      </w:r>
      <w:r>
        <w:t xml:space="preserve"> </w:t>
      </w:r>
    </w:p>
    <w:p w:rsidR="0086247D" w:rsidRDefault="0086247D">
      <w:pPr>
        <w:jc w:val="both"/>
      </w:pPr>
    </w:p>
    <w:p w:rsidR="0086247D" w:rsidRDefault="0086247D">
      <w:pPr>
        <w:jc w:val="both"/>
      </w:pPr>
    </w:p>
    <w:p w:rsidR="0086247D" w:rsidRDefault="00FD1535">
      <w:pPr>
        <w:jc w:val="both"/>
      </w:pPr>
      <w:r>
        <w:t xml:space="preserve">En la actualidad, la población judía y el Estado de Israel ha encontrado un incremento en conductas antisemitas y </w:t>
      </w:r>
      <w:proofErr w:type="spellStart"/>
      <w:r>
        <w:t>antisionistas</w:t>
      </w:r>
      <w:proofErr w:type="spellEnd"/>
      <w:r>
        <w:t xml:space="preserve"> por parte de grupos ciudadanos que han sido respaldados por las comunicaciones emitidas desde el gobierno nacional sobre el conflicto entre Israel y Hamás en el año 2023.</w:t>
      </w:r>
    </w:p>
    <w:p w:rsidR="0086247D" w:rsidRDefault="0086247D">
      <w:pPr>
        <w:jc w:val="both"/>
      </w:pPr>
    </w:p>
    <w:p w:rsidR="0086247D" w:rsidRDefault="00FD1535">
      <w:pPr>
        <w:jc w:val="both"/>
        <w:rPr>
          <w:b/>
        </w:rPr>
      </w:pPr>
      <w:r>
        <w:rPr>
          <w:b/>
        </w:rPr>
        <w:t>Distrital</w:t>
      </w:r>
    </w:p>
    <w:p w:rsidR="0086247D" w:rsidRDefault="0086247D">
      <w:pPr>
        <w:jc w:val="both"/>
      </w:pPr>
    </w:p>
    <w:p w:rsidR="0086247D" w:rsidRDefault="00FD1535">
      <w:pPr>
        <w:jc w:val="both"/>
      </w:pPr>
      <w:r>
        <w:t xml:space="preserve">Como se mencionó en el contexto nacional, Bogotá ha sido el epicentro de actividades de la comunidad judía en Colombia, y ha presentado una actividad económica importante desde los procesos migratorios ya antes enunciados, lo que generó que se presentaran manifestaciones antisemitas en la ciudad durante el siglo XX. </w:t>
      </w:r>
    </w:p>
    <w:p w:rsidR="0086247D" w:rsidRDefault="0086247D">
      <w:pPr>
        <w:jc w:val="both"/>
      </w:pPr>
    </w:p>
    <w:p w:rsidR="0086247D" w:rsidRDefault="00FD1535">
      <w:pPr>
        <w:jc w:val="both"/>
      </w:pPr>
      <w:r>
        <w:t xml:space="preserve">La historia de los judíos en Bogotá se encuentra marcada por la instauración del Centro Israelita de Bogotá en 1929, la creación del primer colegio judío en 1931, la adquisición el primer cementerio hebreo en 1932, la aparición de las primeras empresas judías importantes para la economía - </w:t>
      </w:r>
      <w:r>
        <w:rPr>
          <w:i/>
        </w:rPr>
        <w:t>Panadería El Cometa, entre otras-</w:t>
      </w:r>
      <w:r>
        <w:t xml:space="preserve">, la especialización de los primeros centros comunitarios en 1945, la fundación en 1951 del </w:t>
      </w:r>
      <w:proofErr w:type="spellStart"/>
      <w:r>
        <w:t>Jevra</w:t>
      </w:r>
      <w:proofErr w:type="spellEnd"/>
      <w:r>
        <w:t xml:space="preserve"> </w:t>
      </w:r>
      <w:proofErr w:type="spellStart"/>
      <w:r>
        <w:t>Kadisha</w:t>
      </w:r>
      <w:proofErr w:type="spellEnd"/>
      <w:r>
        <w:t xml:space="preserve"> de Bogotá y la compra en 1970 del actual cementerio judío de la ciudad (</w:t>
      </w:r>
      <w:proofErr w:type="spellStart"/>
      <w:r>
        <w:t>Sperling</w:t>
      </w:r>
      <w:proofErr w:type="spellEnd"/>
      <w:r>
        <w:t>, 2023)</w:t>
      </w:r>
      <w:r>
        <w:rPr>
          <w:vertAlign w:val="superscript"/>
        </w:rPr>
        <w:footnoteReference w:id="10"/>
      </w:r>
    </w:p>
    <w:p w:rsidR="0086247D" w:rsidRDefault="0086247D">
      <w:pPr>
        <w:jc w:val="both"/>
      </w:pPr>
    </w:p>
    <w:p w:rsidR="0086247D" w:rsidRDefault="00FD1535">
      <w:pPr>
        <w:jc w:val="both"/>
      </w:pPr>
      <w:r>
        <w:t xml:space="preserve">Tras el auge económico de los negocios judíos y la manifestación de grupos antisemitas, en Bogotá, junto a una serie de rumores, en 1946 los comercios de ciudadanos judíos sufrieran destrucciones y algunos de sus dueños fueron brutalmente golpeados. Además, los atacantes en su momento también atentaron con el Centro Israelita ubicado en la Calle 24 frente a la Biblioteca Nacional, mientras que otros atacaron directamente a la sinagoga de la calle 30 entre carreras 13 y 14. </w:t>
      </w:r>
    </w:p>
    <w:p w:rsidR="0086247D" w:rsidRDefault="0086247D">
      <w:pPr>
        <w:jc w:val="both"/>
      </w:pPr>
    </w:p>
    <w:p w:rsidR="0086247D" w:rsidRDefault="00FD1535">
      <w:pPr>
        <w:jc w:val="both"/>
      </w:pPr>
      <w:r>
        <w:t xml:space="preserve">Así, Bogotá ha sido el escenario desde el cual la comunidad judía ha tenido mayor representatividad y se ha configurado como un territorio en el que hacen presencia diferentes organizaciones como la Confederación de Comunidades Judías de Colombia, que ha logrado que, de forma articulada con otras entidades internacionales, la Secretaría de Educación haya avanzado en esta materia impulsando el Concurso </w:t>
      </w:r>
      <w:r>
        <w:rPr>
          <w:i/>
        </w:rPr>
        <w:t>Buenas prácticas en la Educación sobre el Holocausto y los Genocidios 2023</w:t>
      </w:r>
      <w:r>
        <w:rPr>
          <w:i/>
          <w:vertAlign w:val="superscript"/>
        </w:rPr>
        <w:footnoteReference w:id="11"/>
      </w:r>
      <w:r>
        <w:t>, en el ámbito del Programa Internacional de Educación Sobre el Holocausto y el Genocidio  (PIEHG)</w:t>
      </w:r>
      <w:r>
        <w:rPr>
          <w:vertAlign w:val="superscript"/>
        </w:rPr>
        <w:footnoteReference w:id="12"/>
      </w:r>
      <w:r>
        <w:t xml:space="preserve">. </w:t>
      </w:r>
    </w:p>
    <w:p w:rsidR="0086247D" w:rsidRDefault="0086247D">
      <w:pPr>
        <w:jc w:val="both"/>
      </w:pPr>
    </w:p>
    <w:p w:rsidR="0086247D" w:rsidRDefault="00FD1535">
      <w:pPr>
        <w:jc w:val="both"/>
      </w:pPr>
      <w:r>
        <w:t xml:space="preserve">No obstante, pese a los avances dados en torno a la población judía en la ciudad, Bogotá también ha sido el escenario de las recientes conductas antisemitas, intensificadas por el contexto internacional del año 2023. De esta manera, como se ahondará más adelante, la embajada y el monumento al Estado de Israel fueron </w:t>
      </w:r>
      <w:proofErr w:type="spellStart"/>
      <w:r>
        <w:t>vandalizadas</w:t>
      </w:r>
      <w:proofErr w:type="spellEnd"/>
      <w:r>
        <w:t xml:space="preserve"> con símbolos antisemitas en la ciudad de Bogotá.  </w:t>
      </w:r>
    </w:p>
    <w:p w:rsidR="0086247D" w:rsidRDefault="0086247D">
      <w:pPr>
        <w:jc w:val="both"/>
      </w:pPr>
    </w:p>
    <w:p w:rsidR="0086247D" w:rsidRDefault="0086247D">
      <w:pPr>
        <w:jc w:val="both"/>
      </w:pPr>
    </w:p>
    <w:p w:rsidR="0086247D" w:rsidRDefault="00FD1535">
      <w:pPr>
        <w:numPr>
          <w:ilvl w:val="0"/>
          <w:numId w:val="4"/>
        </w:numPr>
        <w:pBdr>
          <w:top w:val="nil"/>
          <w:left w:val="nil"/>
          <w:bottom w:val="nil"/>
          <w:right w:val="nil"/>
          <w:between w:val="nil"/>
        </w:pBdr>
        <w:jc w:val="both"/>
        <w:rPr>
          <w:b/>
        </w:rPr>
      </w:pPr>
      <w:r>
        <w:rPr>
          <w:b/>
        </w:rPr>
        <w:t xml:space="preserve">SUSTENTO </w:t>
      </w:r>
      <w:proofErr w:type="gramStart"/>
      <w:r>
        <w:rPr>
          <w:b/>
        </w:rPr>
        <w:t>JURÍDICO  DE</w:t>
      </w:r>
      <w:proofErr w:type="gramEnd"/>
      <w:r>
        <w:rPr>
          <w:b/>
        </w:rPr>
        <w:t xml:space="preserve"> LA INICIATIVA</w:t>
      </w:r>
    </w:p>
    <w:p w:rsidR="0086247D" w:rsidRDefault="0086247D">
      <w:pPr>
        <w:pBdr>
          <w:top w:val="nil"/>
          <w:left w:val="nil"/>
          <w:bottom w:val="nil"/>
          <w:right w:val="nil"/>
          <w:between w:val="nil"/>
        </w:pBdr>
        <w:jc w:val="both"/>
      </w:pPr>
    </w:p>
    <w:p w:rsidR="0086247D" w:rsidRDefault="00FD1535">
      <w:pPr>
        <w:pBdr>
          <w:top w:val="nil"/>
          <w:left w:val="nil"/>
          <w:bottom w:val="nil"/>
          <w:right w:val="nil"/>
          <w:between w:val="nil"/>
        </w:pBdr>
        <w:jc w:val="both"/>
      </w:pPr>
      <w:r>
        <w:t xml:space="preserve">La lucha contra el antisemitismo tiene </w:t>
      </w:r>
      <w:proofErr w:type="gramStart"/>
      <w:r>
        <w:t>una sustento jurídico importante</w:t>
      </w:r>
      <w:proofErr w:type="gramEnd"/>
      <w:r>
        <w:t xml:space="preserve"> tanto a nivel nacional como a nivel internacional, ya que, como se ha mostrado con anterioridad, se ha convertido en un fin en </w:t>
      </w:r>
      <w:proofErr w:type="spellStart"/>
      <w:r>
        <w:t>si</w:t>
      </w:r>
      <w:proofErr w:type="spellEnd"/>
      <w:r>
        <w:t xml:space="preserve"> mismo. Por lo anterior, en este apartado se presentarán una serie de fundamentos jurídicos para atender el tema. Para ello, inicialmente se presentará el sustento internacional para luego presentar el nacional. </w:t>
      </w:r>
    </w:p>
    <w:p w:rsidR="0086247D" w:rsidRDefault="0086247D">
      <w:pPr>
        <w:pBdr>
          <w:top w:val="nil"/>
          <w:left w:val="nil"/>
          <w:bottom w:val="nil"/>
          <w:right w:val="nil"/>
          <w:between w:val="nil"/>
        </w:pBdr>
        <w:jc w:val="both"/>
      </w:pPr>
    </w:p>
    <w:p w:rsidR="0086247D" w:rsidRDefault="00FD1535">
      <w:pPr>
        <w:pBdr>
          <w:top w:val="nil"/>
          <w:left w:val="nil"/>
          <w:bottom w:val="nil"/>
          <w:right w:val="nil"/>
          <w:between w:val="nil"/>
        </w:pBdr>
        <w:jc w:val="both"/>
        <w:rPr>
          <w:b/>
        </w:rPr>
      </w:pPr>
      <w:r>
        <w:rPr>
          <w:b/>
        </w:rPr>
        <w:t>Sustento internacional</w:t>
      </w:r>
    </w:p>
    <w:p w:rsidR="0086247D" w:rsidRDefault="0086247D">
      <w:pPr>
        <w:pBdr>
          <w:top w:val="nil"/>
          <w:left w:val="nil"/>
          <w:bottom w:val="nil"/>
          <w:right w:val="nil"/>
          <w:between w:val="nil"/>
        </w:pBdr>
        <w:jc w:val="both"/>
      </w:pPr>
    </w:p>
    <w:p w:rsidR="0086247D" w:rsidRDefault="00FD1535">
      <w:pPr>
        <w:pBdr>
          <w:top w:val="nil"/>
          <w:left w:val="nil"/>
          <w:bottom w:val="nil"/>
          <w:right w:val="nil"/>
          <w:between w:val="nil"/>
        </w:pBdr>
        <w:jc w:val="both"/>
      </w:pPr>
      <w:r>
        <w:t>Fomentar la lucha contra el antisemitismo es un fin global que también tiene lugar en los principios del sistema internacional. Siendo así, es válido tener presente la normativa internacional que ha permitido trazar un precedente en el tema y que, además, tiene efectos vinculantes en el país.</w:t>
      </w:r>
    </w:p>
    <w:p w:rsidR="0086247D" w:rsidRDefault="0086247D">
      <w:pPr>
        <w:pBdr>
          <w:top w:val="nil"/>
          <w:left w:val="nil"/>
          <w:bottom w:val="nil"/>
          <w:right w:val="nil"/>
          <w:between w:val="nil"/>
        </w:pBdr>
        <w:jc w:val="both"/>
      </w:pPr>
    </w:p>
    <w:p w:rsidR="0086247D" w:rsidRDefault="00FD1535">
      <w:pPr>
        <w:pBdr>
          <w:top w:val="nil"/>
          <w:left w:val="nil"/>
          <w:bottom w:val="nil"/>
          <w:right w:val="nil"/>
          <w:between w:val="nil"/>
        </w:pBdr>
        <w:jc w:val="both"/>
      </w:pPr>
      <w:r>
        <w:t>La Declaración Americana de los Derechos y Deberes de la Persona, contiene en su artículo II que “todas las personas son iguales ante la ley y tienen los derechos y deberes consagrados en esta declaración sin distinción de raza, sexo, idioma, credo ni ninguna otra”. De igual forma, la Carta de la Organización de Estados Americanos (OEA) establece en el literal l) del artículo 3° sobre los principios lo siguiente: “Los Estados Americanos proclaman los derechos fundamentales de la persona humana sin hacer distinción de raza, nacionalidad, credo o sexo”, y la Convención Americana sobre Derechos Humanos en su artículo 1° establece la obligación de los Estados de respetar los derechos y libertades “sin discriminación alguna por motivos de raza, color, sexo, idioma, religión, opiniones políticas o de cualquier otra índole, origen nacional o social, posición económica, nacimiento o cualquier otra condición social”. Teniendo en cuenta dicha normatividad, se genera un precedente jurídico relacionado con el respeto y la no discriminación a ninguna persona o grupo sin importar el motivo.</w:t>
      </w:r>
    </w:p>
    <w:p w:rsidR="0086247D" w:rsidRDefault="0086247D">
      <w:pPr>
        <w:pBdr>
          <w:top w:val="nil"/>
          <w:left w:val="nil"/>
          <w:bottom w:val="nil"/>
          <w:right w:val="nil"/>
          <w:between w:val="nil"/>
        </w:pBdr>
        <w:jc w:val="both"/>
      </w:pPr>
    </w:p>
    <w:p w:rsidR="0086247D" w:rsidRDefault="00FD1535">
      <w:pPr>
        <w:pBdr>
          <w:top w:val="nil"/>
          <w:left w:val="nil"/>
          <w:bottom w:val="nil"/>
          <w:right w:val="nil"/>
          <w:between w:val="nil"/>
        </w:pBdr>
        <w:jc w:val="both"/>
      </w:pPr>
      <w:r>
        <w:t xml:space="preserve">Por otro lado, a través de la Ley 22 de 1981, se ratificó la Convención Internacional sobre la Eliminación de todas las formas de Discriminación Racial </w:t>
      </w:r>
      <w:r>
        <w:rPr>
          <w:vertAlign w:val="superscript"/>
        </w:rPr>
        <w:footnoteReference w:id="13"/>
      </w:r>
      <w:r>
        <w:t xml:space="preserve">, por la cual define la expresión "discriminación racial" como “toda distinción, exclusión, restricción o preferencia basada en motivos de raza, color, linaje u origen nacional o étnico que tenga por objeto o por resultado anular o menoscabar el reconocimiento, goce o ejercicio, en condiciones de igualdad, de los derechos humanos y libertades fundamentales en las esferas política, económica, social, cultural o en cualquier otra esfera de la vida pública.” </w:t>
      </w:r>
    </w:p>
    <w:p w:rsidR="0086247D" w:rsidRDefault="0086247D">
      <w:pPr>
        <w:pBdr>
          <w:top w:val="nil"/>
          <w:left w:val="nil"/>
          <w:bottom w:val="nil"/>
          <w:right w:val="nil"/>
          <w:between w:val="nil"/>
        </w:pBdr>
        <w:jc w:val="both"/>
      </w:pPr>
    </w:p>
    <w:p w:rsidR="0086247D" w:rsidRDefault="00FD1535">
      <w:pPr>
        <w:pBdr>
          <w:top w:val="nil"/>
          <w:left w:val="nil"/>
          <w:bottom w:val="nil"/>
          <w:right w:val="nil"/>
          <w:between w:val="nil"/>
        </w:pBdr>
        <w:jc w:val="both"/>
      </w:pPr>
      <w:r>
        <w:t>Teniendo en consideración lo anterior, se generaron los compromisos correspondientes:</w:t>
      </w:r>
    </w:p>
    <w:p w:rsidR="0086247D" w:rsidRDefault="00FD1535">
      <w:pPr>
        <w:numPr>
          <w:ilvl w:val="0"/>
          <w:numId w:val="1"/>
        </w:numPr>
        <w:pBdr>
          <w:top w:val="nil"/>
          <w:left w:val="nil"/>
          <w:bottom w:val="nil"/>
          <w:right w:val="nil"/>
          <w:between w:val="nil"/>
        </w:pBdr>
        <w:jc w:val="both"/>
      </w:pPr>
      <w:r>
        <w:t>Fomentar políticas con un enfoque transversal en contra de la discriminación</w:t>
      </w:r>
    </w:p>
    <w:p w:rsidR="0086247D" w:rsidRDefault="00FD1535">
      <w:pPr>
        <w:numPr>
          <w:ilvl w:val="0"/>
          <w:numId w:val="1"/>
        </w:numPr>
        <w:pBdr>
          <w:top w:val="nil"/>
          <w:left w:val="nil"/>
          <w:bottom w:val="nil"/>
          <w:right w:val="nil"/>
          <w:between w:val="nil"/>
        </w:pBdr>
        <w:jc w:val="both"/>
      </w:pPr>
      <w:r>
        <w:t>Eliminar, enmendar, derogar o anular las leyes y las disposiciones reglamentarias que tengan como consecuencia crear la discriminación racial o perpetuarla donde ya exista</w:t>
      </w:r>
    </w:p>
    <w:p w:rsidR="0086247D" w:rsidRDefault="00FD1535">
      <w:pPr>
        <w:numPr>
          <w:ilvl w:val="0"/>
          <w:numId w:val="1"/>
        </w:numPr>
        <w:pBdr>
          <w:top w:val="nil"/>
          <w:left w:val="nil"/>
          <w:bottom w:val="nil"/>
          <w:right w:val="nil"/>
          <w:between w:val="nil"/>
        </w:pBdr>
        <w:jc w:val="both"/>
      </w:pPr>
      <w:r>
        <w:t>Condenar especialmente la segregación racial y prevenir, prohibir y eliminar en el país todas las prácticas de esta naturaleza, no propagar y condenar toda la propaganda y todas las organizaciones que se inspiren en ideas o teorías basadas en la superioridad de un grupo social o que pretendan justificar o promover el odio y la discriminación racial y la discriminación racial.</w:t>
      </w:r>
    </w:p>
    <w:p w:rsidR="0086247D" w:rsidRDefault="0086247D">
      <w:pPr>
        <w:pBdr>
          <w:top w:val="nil"/>
          <w:left w:val="nil"/>
          <w:bottom w:val="nil"/>
          <w:right w:val="nil"/>
          <w:between w:val="nil"/>
        </w:pBdr>
        <w:jc w:val="both"/>
      </w:pPr>
    </w:p>
    <w:p w:rsidR="0086247D" w:rsidRDefault="00FD1535">
      <w:pPr>
        <w:pBdr>
          <w:top w:val="nil"/>
          <w:left w:val="nil"/>
          <w:bottom w:val="nil"/>
          <w:right w:val="nil"/>
          <w:between w:val="nil"/>
        </w:pBdr>
        <w:jc w:val="both"/>
      </w:pPr>
      <w:r>
        <w:t>Ahora bien, en lo relacionado con el antisemitismo religioso, la Relatoría Especial de las Naciones Unidas sobre la libertad de religión o de creencias (creada y adoptada por Colombia en la sesión 50 de Naciones Unidas</w:t>
      </w:r>
      <w:r>
        <w:rPr>
          <w:vertAlign w:val="superscript"/>
        </w:rPr>
        <w:footnoteReference w:id="14"/>
      </w:r>
      <w:r>
        <w:t xml:space="preserve">),  por medio de la resolución 2005/04 de la Comisión de Derechos Humanos, reconoce el aumento de extremismo religioso y su relación con el aumento general de intolerancia y violencia dirigida hacia miembros de comunidades religiosas, en muchos casos motivadas por antisemitismo, </w:t>
      </w:r>
      <w:proofErr w:type="spellStart"/>
      <w:r>
        <w:t>islamofobia</w:t>
      </w:r>
      <w:proofErr w:type="spellEnd"/>
      <w:r>
        <w:t xml:space="preserve"> y </w:t>
      </w:r>
      <w:proofErr w:type="spellStart"/>
      <w:r>
        <w:t>cristianofobia</w:t>
      </w:r>
      <w:proofErr w:type="spellEnd"/>
      <w:r>
        <w:t xml:space="preserve"> (parágrafo 6)</w:t>
      </w:r>
      <w:r>
        <w:rPr>
          <w:vertAlign w:val="superscript"/>
        </w:rPr>
        <w:footnoteReference w:id="15"/>
      </w:r>
      <w:r>
        <w:t>.</w:t>
      </w:r>
    </w:p>
    <w:p w:rsidR="0086247D" w:rsidRDefault="0086247D">
      <w:pPr>
        <w:pBdr>
          <w:top w:val="nil"/>
          <w:left w:val="nil"/>
          <w:bottom w:val="nil"/>
          <w:right w:val="nil"/>
          <w:between w:val="nil"/>
        </w:pBdr>
        <w:jc w:val="both"/>
      </w:pPr>
    </w:p>
    <w:p w:rsidR="0086247D" w:rsidRDefault="00FD1535">
      <w:pPr>
        <w:pBdr>
          <w:top w:val="nil"/>
          <w:left w:val="nil"/>
          <w:bottom w:val="nil"/>
          <w:right w:val="nil"/>
          <w:between w:val="nil"/>
        </w:pBdr>
        <w:jc w:val="both"/>
      </w:pPr>
      <w:r>
        <w:t>De igual forma, en lo relacionado con la dimensión racista del antisemitismo, el Comité para la Eliminación de la Discriminación Racial de las Naciones Unidas, en el Par. 6, reconoce que el discurso de odio racista incluye todas las formas de discurso que incluyan ideas como las siguientes</w:t>
      </w:r>
      <w:r>
        <w:rPr>
          <w:vertAlign w:val="superscript"/>
        </w:rPr>
        <w:footnoteReference w:id="16"/>
      </w:r>
      <w:r>
        <w:t>:</w:t>
      </w:r>
    </w:p>
    <w:p w:rsidR="0086247D" w:rsidRDefault="00FD1535">
      <w:pPr>
        <w:numPr>
          <w:ilvl w:val="0"/>
          <w:numId w:val="5"/>
        </w:numPr>
        <w:pBdr>
          <w:top w:val="nil"/>
          <w:left w:val="nil"/>
          <w:bottom w:val="nil"/>
          <w:right w:val="nil"/>
          <w:between w:val="nil"/>
        </w:pBdr>
        <w:jc w:val="both"/>
      </w:pPr>
      <w:r>
        <w:t>Basadas en la superioridad o en el odio racial o étnico, por cualquier medio, incitación al odio.</w:t>
      </w:r>
    </w:p>
    <w:p w:rsidR="0086247D" w:rsidRDefault="00FD1535">
      <w:pPr>
        <w:numPr>
          <w:ilvl w:val="0"/>
          <w:numId w:val="5"/>
        </w:numPr>
        <w:pBdr>
          <w:top w:val="nil"/>
          <w:left w:val="nil"/>
          <w:bottom w:val="nil"/>
          <w:right w:val="nil"/>
          <w:between w:val="nil"/>
        </w:pBdr>
        <w:jc w:val="both"/>
      </w:pPr>
      <w:r>
        <w:t>El desprecio o la discriminación contra los miembros de un grupo.</w:t>
      </w:r>
    </w:p>
    <w:p w:rsidR="0086247D" w:rsidRDefault="00FD1535">
      <w:pPr>
        <w:numPr>
          <w:ilvl w:val="0"/>
          <w:numId w:val="5"/>
        </w:numPr>
        <w:pBdr>
          <w:top w:val="nil"/>
          <w:left w:val="nil"/>
          <w:bottom w:val="nil"/>
          <w:right w:val="nil"/>
          <w:between w:val="nil"/>
        </w:pBdr>
        <w:jc w:val="both"/>
      </w:pPr>
      <w:r>
        <w:t>Las amenazas o la incitación a la violencia contra personas o grupos.</w:t>
      </w:r>
    </w:p>
    <w:p w:rsidR="0086247D" w:rsidRDefault="00FD1535">
      <w:pPr>
        <w:numPr>
          <w:ilvl w:val="0"/>
          <w:numId w:val="5"/>
        </w:numPr>
        <w:pBdr>
          <w:top w:val="nil"/>
          <w:left w:val="nil"/>
          <w:bottom w:val="nil"/>
          <w:right w:val="nil"/>
          <w:between w:val="nil"/>
        </w:pBdr>
        <w:jc w:val="both"/>
      </w:pPr>
      <w:r>
        <w:t>La expresión de insultos, burlas o calumnias a personas o grupos, o la justificación del odio, el desprecio o la discriminación.</w:t>
      </w:r>
    </w:p>
    <w:p w:rsidR="0086247D" w:rsidRDefault="00FD1535">
      <w:pPr>
        <w:numPr>
          <w:ilvl w:val="0"/>
          <w:numId w:val="5"/>
        </w:numPr>
        <w:pBdr>
          <w:top w:val="nil"/>
          <w:left w:val="nil"/>
          <w:bottom w:val="nil"/>
          <w:right w:val="nil"/>
          <w:between w:val="nil"/>
        </w:pBdr>
        <w:jc w:val="both"/>
      </w:pPr>
      <w:r>
        <w:t xml:space="preserve">La participación en organizaciones y actividades que promuevan e inciten a la discriminación racial. </w:t>
      </w:r>
    </w:p>
    <w:p w:rsidR="0086247D" w:rsidRDefault="0086247D">
      <w:pPr>
        <w:pBdr>
          <w:top w:val="nil"/>
          <w:left w:val="nil"/>
          <w:bottom w:val="nil"/>
          <w:right w:val="nil"/>
          <w:between w:val="nil"/>
        </w:pBdr>
        <w:jc w:val="both"/>
      </w:pPr>
    </w:p>
    <w:p w:rsidR="0086247D" w:rsidRDefault="00FD1535">
      <w:pPr>
        <w:pBdr>
          <w:top w:val="nil"/>
          <w:left w:val="nil"/>
          <w:bottom w:val="nil"/>
          <w:right w:val="nil"/>
          <w:between w:val="nil"/>
        </w:pBdr>
        <w:jc w:val="both"/>
      </w:pPr>
      <w:r>
        <w:t xml:space="preserve">Asimismo, otro de los parámetros globales que están marcando la dirección en los países del mundo son los Objetivos de Desarrollo Sostenible (ODS). Aunque estos no están dirigidos específicamente a la lucha contra el antisemitismo, sus fines generales y principios fundacionales se relacionan ya que buscan contribuir a una sociedad más </w:t>
      </w:r>
      <w:r>
        <w:rPr>
          <w:highlight w:val="white"/>
        </w:rPr>
        <w:t xml:space="preserve">inclusiva, tolerante y equitativa, donde el antisemitismo y otras formas de discriminación sean erradicadas. </w:t>
      </w:r>
      <w:r>
        <w:t>De estos, podemos mencionar los siguientes y su relación con el presente proyecto</w:t>
      </w:r>
      <w:r>
        <w:rPr>
          <w:vertAlign w:val="superscript"/>
        </w:rPr>
        <w:footnoteReference w:id="17"/>
      </w:r>
      <w:r>
        <w:t>:</w:t>
      </w:r>
    </w:p>
    <w:p w:rsidR="0086247D" w:rsidRDefault="0086247D">
      <w:pPr>
        <w:pBdr>
          <w:top w:val="nil"/>
          <w:left w:val="nil"/>
          <w:bottom w:val="nil"/>
          <w:right w:val="nil"/>
          <w:between w:val="nil"/>
        </w:pBdr>
        <w:jc w:val="both"/>
      </w:pPr>
    </w:p>
    <w:p w:rsidR="0086247D" w:rsidRDefault="00FD1535">
      <w:pPr>
        <w:spacing w:line="276" w:lineRule="auto"/>
        <w:jc w:val="both"/>
        <w:rPr>
          <w:highlight w:val="white"/>
        </w:rPr>
      </w:pPr>
      <w:r>
        <w:rPr>
          <w:b/>
          <w:highlight w:val="white"/>
        </w:rPr>
        <w:t>Objetivo 4, Educación de calidad:</w:t>
      </w:r>
      <w:r>
        <w:rPr>
          <w:highlight w:val="white"/>
        </w:rPr>
        <w:t xml:space="preserve"> la educación desempeña un papel fundamental en la lucha contra los estereotipos y prejuicios y permite concientizar desde temprana edad los efectos de las ideas que incitan al odio y a la </w:t>
      </w:r>
      <w:proofErr w:type="spellStart"/>
      <w:r>
        <w:rPr>
          <w:highlight w:val="white"/>
        </w:rPr>
        <w:t>discrimincación</w:t>
      </w:r>
      <w:proofErr w:type="spellEnd"/>
      <w:r>
        <w:rPr>
          <w:highlight w:val="white"/>
        </w:rPr>
        <w:t>. Así, promover una educación de calidad que fomente la memoria, la tolerancia, la comprensión y el respeto por la diversidad permitirá trabajar a largo plazo para enfrentar este fenómeno.</w:t>
      </w:r>
    </w:p>
    <w:p w:rsidR="0086247D" w:rsidRDefault="0086247D">
      <w:pPr>
        <w:spacing w:line="276" w:lineRule="auto"/>
        <w:jc w:val="both"/>
        <w:rPr>
          <w:highlight w:val="white"/>
        </w:rPr>
      </w:pPr>
    </w:p>
    <w:p w:rsidR="0086247D" w:rsidRDefault="00FD1535">
      <w:pPr>
        <w:spacing w:line="276" w:lineRule="auto"/>
        <w:jc w:val="both"/>
        <w:rPr>
          <w:highlight w:val="white"/>
        </w:rPr>
      </w:pPr>
      <w:r>
        <w:rPr>
          <w:b/>
          <w:highlight w:val="white"/>
        </w:rPr>
        <w:t>Objetivo 10,</w:t>
      </w:r>
      <w:r>
        <w:rPr>
          <w:highlight w:val="white"/>
        </w:rPr>
        <w:t xml:space="preserve"> </w:t>
      </w:r>
      <w:r>
        <w:rPr>
          <w:b/>
          <w:highlight w:val="white"/>
        </w:rPr>
        <w:t>Reducir las desigualdades:</w:t>
      </w:r>
      <w:r>
        <w:rPr>
          <w:highlight w:val="white"/>
        </w:rPr>
        <w:t xml:space="preserve"> El antisemitismo suele tener su origen en prejuicios y estereotipos profundamente arraigados en las sociedades. Los esfuerzos para reducir las desigualdades, promover la inclusión social y combatir la discriminación pueden ayudar a crear entornos en los que sea menos probable que prospere el antisemitismo.</w:t>
      </w:r>
    </w:p>
    <w:p w:rsidR="0086247D" w:rsidRDefault="0086247D">
      <w:pPr>
        <w:pBdr>
          <w:top w:val="nil"/>
          <w:left w:val="nil"/>
          <w:bottom w:val="nil"/>
          <w:right w:val="nil"/>
          <w:between w:val="nil"/>
        </w:pBdr>
        <w:jc w:val="both"/>
      </w:pPr>
    </w:p>
    <w:p w:rsidR="0086247D" w:rsidRDefault="00FD1535">
      <w:pPr>
        <w:spacing w:line="276" w:lineRule="auto"/>
        <w:jc w:val="both"/>
        <w:rPr>
          <w:highlight w:val="white"/>
        </w:rPr>
      </w:pPr>
      <w:r>
        <w:rPr>
          <w:b/>
        </w:rPr>
        <w:t>Objetivo 16,</w:t>
      </w:r>
      <w:r>
        <w:rPr>
          <w:highlight w:val="white"/>
        </w:rPr>
        <w:t xml:space="preserve"> </w:t>
      </w:r>
      <w:r>
        <w:rPr>
          <w:b/>
          <w:highlight w:val="white"/>
        </w:rPr>
        <w:t>Paz, justicia e instituciones sólidas:</w:t>
      </w:r>
      <w:r>
        <w:rPr>
          <w:highlight w:val="white"/>
        </w:rPr>
        <w:t xml:space="preserve"> al buscar la reducción de la violencia y la garantía del Estado de Derecho, se pueden fomentar acciones para combatir los delitos motivados por el odio. Además, buscar instituciones fuertes que promuevan la igualdad, la justicia y la tolerancia pueden fortalecer la lucha contra la discriminación.</w:t>
      </w:r>
    </w:p>
    <w:p w:rsidR="0086247D" w:rsidRDefault="0086247D">
      <w:pPr>
        <w:spacing w:line="276" w:lineRule="auto"/>
        <w:jc w:val="both"/>
        <w:rPr>
          <w:highlight w:val="white"/>
        </w:rPr>
      </w:pPr>
    </w:p>
    <w:p w:rsidR="0086247D" w:rsidRDefault="00FD1535">
      <w:pPr>
        <w:spacing w:line="276" w:lineRule="auto"/>
        <w:jc w:val="both"/>
        <w:rPr>
          <w:highlight w:val="white"/>
        </w:rPr>
      </w:pPr>
      <w:r>
        <w:rPr>
          <w:b/>
          <w:highlight w:val="white"/>
        </w:rPr>
        <w:t>Objetivo 17, Asociaciones para los Objetivos:</w:t>
      </w:r>
      <w:r>
        <w:rPr>
          <w:highlight w:val="white"/>
        </w:rPr>
        <w:t xml:space="preserve"> enfrentar el antisemitismo necesita un enfoque transversal e intersectorial, requiere la colaboración y la asociación entre gobiernos, organizaciones de la sociedad civil, empresas y comunidades. Teniendo esto en cuenta, se reconoce la importancia de todos los actores de la sociedad para lograr los ODS y erradicar el antisemitismo.</w:t>
      </w:r>
    </w:p>
    <w:p w:rsidR="0086247D" w:rsidRDefault="0086247D">
      <w:pPr>
        <w:spacing w:line="276" w:lineRule="auto"/>
        <w:jc w:val="both"/>
        <w:rPr>
          <w:highlight w:val="white"/>
        </w:rPr>
      </w:pPr>
    </w:p>
    <w:p w:rsidR="0086247D" w:rsidRDefault="00FD1535">
      <w:pPr>
        <w:spacing w:line="276" w:lineRule="auto"/>
        <w:jc w:val="both"/>
      </w:pPr>
      <w:r>
        <w:rPr>
          <w:b/>
          <w:highlight w:val="white"/>
        </w:rPr>
        <w:t>Nacional</w:t>
      </w:r>
    </w:p>
    <w:p w:rsidR="0086247D" w:rsidRDefault="00FD1535">
      <w:pPr>
        <w:spacing w:line="276" w:lineRule="auto"/>
        <w:jc w:val="both"/>
        <w:rPr>
          <w:color w:val="333333"/>
          <w:highlight w:val="white"/>
        </w:rPr>
      </w:pPr>
      <w:r>
        <w:t xml:space="preserve">En materia del sustento jurídico nacional, la Constitución Política enmarca por lo menos en cuatro de sus artículos las bases en torno a la lucha contra la discriminación y la problemática expuesta con anterioridad. De esta manera los artículos 4 y 93, estableciendo la supremacía de la Carta Magna, instauran como bloque de constitucionalidad la preeminencia de los tratados y convenios internacionales que reconocen los derechos humanos. En concordancia, el artículo 5 esboza la supremacía de </w:t>
      </w:r>
      <w:proofErr w:type="gramStart"/>
      <w:r>
        <w:t>la los derechos inalienables</w:t>
      </w:r>
      <w:proofErr w:type="gramEnd"/>
      <w:r>
        <w:t xml:space="preserve"> sin discriminación. En esta vía, el artículo 7 de la Carta establece que “</w:t>
      </w:r>
      <w:r>
        <w:rPr>
          <w:color w:val="333333"/>
          <w:highlight w:val="white"/>
        </w:rPr>
        <w:t>el Estado reconoce y protege la diversidad étnica y cultural de la Nación colombiana”, mientras que el número 13 estipula que “todas las personas nacen libres e iguales ante la ley (...) El Estado promoverá las condiciones para que la igualdad sea real y efectiva y adoptará medidas en favor de grupos discriminados o marginados.”</w:t>
      </w:r>
    </w:p>
    <w:p w:rsidR="0086247D" w:rsidRDefault="0086247D">
      <w:pPr>
        <w:spacing w:line="276" w:lineRule="auto"/>
        <w:jc w:val="both"/>
        <w:rPr>
          <w:color w:val="333333"/>
          <w:highlight w:val="white"/>
        </w:rPr>
      </w:pPr>
    </w:p>
    <w:p w:rsidR="0086247D" w:rsidRDefault="00FD1535">
      <w:pPr>
        <w:spacing w:line="276" w:lineRule="auto"/>
        <w:jc w:val="both"/>
        <w:rPr>
          <w:color w:val="333333"/>
          <w:highlight w:val="white"/>
        </w:rPr>
      </w:pPr>
      <w:r>
        <w:rPr>
          <w:color w:val="333333"/>
          <w:highlight w:val="white"/>
        </w:rPr>
        <w:t xml:space="preserve">Adicional a esto, es imperativo hacer mención en este apartado a la ley 1482 de 2011 que modificó el Código Penal en materia de los artículos 134B, 134C,134D, correspondientes a actos de </w:t>
      </w:r>
      <w:proofErr w:type="spellStart"/>
      <w:r>
        <w:rPr>
          <w:color w:val="333333"/>
          <w:highlight w:val="white"/>
        </w:rPr>
        <w:t>discrimnación</w:t>
      </w:r>
      <w:proofErr w:type="spellEnd"/>
      <w:r>
        <w:rPr>
          <w:color w:val="333333"/>
          <w:highlight w:val="white"/>
        </w:rPr>
        <w:t xml:space="preserve"> y del artículo 102, específico a la apología al genocidio y que hace mención al antisemitismo como delito como se muestra a continuación: </w:t>
      </w:r>
    </w:p>
    <w:p w:rsidR="0086247D" w:rsidRDefault="00FD1535">
      <w:pPr>
        <w:spacing w:line="276" w:lineRule="auto"/>
        <w:ind w:left="720"/>
        <w:jc w:val="both"/>
        <w:rPr>
          <w:color w:val="333333"/>
          <w:sz w:val="22"/>
          <w:szCs w:val="22"/>
          <w:highlight w:val="white"/>
        </w:rPr>
      </w:pPr>
      <w:proofErr w:type="gramStart"/>
      <w:r>
        <w:rPr>
          <w:color w:val="333333"/>
          <w:sz w:val="22"/>
          <w:szCs w:val="22"/>
          <w:highlight w:val="white"/>
        </w:rPr>
        <w:t>Artículo  7</w:t>
      </w:r>
      <w:proofErr w:type="gramEnd"/>
      <w:r>
        <w:rPr>
          <w:color w:val="333333"/>
          <w:sz w:val="22"/>
          <w:szCs w:val="22"/>
          <w:highlight w:val="white"/>
        </w:rPr>
        <w:t>°. Modifíquese el artículo 102 del Código Penal.</w:t>
      </w:r>
    </w:p>
    <w:p w:rsidR="0086247D" w:rsidRDefault="0086247D">
      <w:pPr>
        <w:spacing w:line="276" w:lineRule="auto"/>
        <w:ind w:left="720"/>
        <w:jc w:val="both"/>
        <w:rPr>
          <w:color w:val="333333"/>
          <w:sz w:val="22"/>
          <w:szCs w:val="22"/>
          <w:highlight w:val="white"/>
        </w:rPr>
      </w:pPr>
    </w:p>
    <w:p w:rsidR="0086247D" w:rsidRDefault="00FD1535">
      <w:pPr>
        <w:spacing w:line="276" w:lineRule="auto"/>
        <w:ind w:left="720"/>
        <w:jc w:val="both"/>
        <w:rPr>
          <w:color w:val="333333"/>
          <w:sz w:val="22"/>
          <w:szCs w:val="22"/>
          <w:highlight w:val="white"/>
        </w:rPr>
      </w:pPr>
      <w:r>
        <w:rPr>
          <w:color w:val="333333"/>
          <w:sz w:val="22"/>
          <w:szCs w:val="22"/>
          <w:highlight w:val="white"/>
        </w:rPr>
        <w:t>Artículo 102. Apología del genocidio. El que por cualquier medio difunda ideas o doctrinas que propicien, promuevan, el genocidio o el antisemitismo o de alguna forma lo justifiquen o pretendan la rehabilitación de regímenes o instituciones que amparen prácticas generadoras de las mismas, incurrirá en prisión de noventa y seis (96) a ciento ochenta (180) meses, multa de seiscientos sesenta y seis punto sesenta y seis (666.66) a mil quinientos (1.500) salarios mínimos legales mensuales vigentes, e inhabilitación para el ejercicio de derechos y funciones públicas de ochenta (80) a ciento ochenta (180) meses. (Ley 1482, 2011)</w:t>
      </w:r>
    </w:p>
    <w:p w:rsidR="0086247D" w:rsidRDefault="0086247D">
      <w:pPr>
        <w:spacing w:line="276" w:lineRule="auto"/>
        <w:jc w:val="both"/>
        <w:rPr>
          <w:color w:val="333333"/>
          <w:highlight w:val="white"/>
        </w:rPr>
      </w:pPr>
    </w:p>
    <w:p w:rsidR="0086247D" w:rsidRDefault="00FD1535">
      <w:pPr>
        <w:spacing w:line="276" w:lineRule="auto"/>
        <w:jc w:val="both"/>
        <w:rPr>
          <w:color w:val="333333"/>
          <w:highlight w:val="white"/>
        </w:rPr>
      </w:pPr>
      <w:r>
        <w:rPr>
          <w:color w:val="333333"/>
          <w:highlight w:val="white"/>
        </w:rPr>
        <w:t xml:space="preserve">Adicionalmente, la ley 1752 de 2015, modificó la anterior ley en mención para ampliar en el artículo de actos de discriminación, la caracterización de población con discapacidad.  </w:t>
      </w:r>
    </w:p>
    <w:p w:rsidR="0086247D" w:rsidRDefault="0086247D">
      <w:pPr>
        <w:jc w:val="both"/>
      </w:pPr>
    </w:p>
    <w:p w:rsidR="0086247D" w:rsidRDefault="00FD1535">
      <w:pPr>
        <w:numPr>
          <w:ilvl w:val="0"/>
          <w:numId w:val="4"/>
        </w:numPr>
        <w:pBdr>
          <w:top w:val="nil"/>
          <w:left w:val="nil"/>
          <w:bottom w:val="nil"/>
          <w:right w:val="nil"/>
          <w:between w:val="nil"/>
        </w:pBdr>
        <w:jc w:val="both"/>
        <w:rPr>
          <w:b/>
        </w:rPr>
      </w:pPr>
      <w:r>
        <w:rPr>
          <w:b/>
        </w:rPr>
        <w:t xml:space="preserve">JUSTIFICACIÓN Y ANÁLISIS DE CONVENIENCIA DE LA INICIATIVA </w:t>
      </w:r>
    </w:p>
    <w:p w:rsidR="0086247D" w:rsidRDefault="0086247D">
      <w:pPr>
        <w:spacing w:line="276" w:lineRule="auto"/>
        <w:jc w:val="both"/>
      </w:pPr>
    </w:p>
    <w:p w:rsidR="0086247D" w:rsidRDefault="00FD1535">
      <w:pPr>
        <w:spacing w:line="276" w:lineRule="auto"/>
        <w:jc w:val="both"/>
      </w:pPr>
      <w:r>
        <w:t>Por su definición básica, el antisemitismo se entiende como el odio a los judíos. De este, el Centro Mundial de Conmemoración del Holocausto lo distingue en tres tipos: religioso (discriminación religiosa), político, (se opone a otorgar a los judíos igualdad de derechos civiles) y racista (que basa su odio en la existencia misma del judío)</w:t>
      </w:r>
      <w:r>
        <w:rPr>
          <w:vertAlign w:val="superscript"/>
        </w:rPr>
        <w:footnoteReference w:id="18"/>
      </w:r>
      <w:r>
        <w:t xml:space="preserve">. </w:t>
      </w:r>
    </w:p>
    <w:p w:rsidR="0086247D" w:rsidRDefault="0086247D">
      <w:pPr>
        <w:spacing w:line="276" w:lineRule="auto"/>
        <w:jc w:val="both"/>
      </w:pPr>
    </w:p>
    <w:p w:rsidR="0086247D" w:rsidRDefault="00FD1535">
      <w:pPr>
        <w:spacing w:line="276" w:lineRule="auto"/>
        <w:jc w:val="both"/>
      </w:pPr>
      <w:r>
        <w:t xml:space="preserve">Aunque la persecución y asesinato a judíos en el Holocausto perpetuado en la Segunda Guerra Mundial, que dejó aproximadamente 6 millones de víctimas, ha sido la mayor expresión de antisemitismo hasta ahora, este ha estado presente aún desde tiempo atrás. </w:t>
      </w:r>
    </w:p>
    <w:p w:rsidR="0086247D" w:rsidRDefault="0086247D">
      <w:pPr>
        <w:spacing w:line="276" w:lineRule="auto"/>
        <w:jc w:val="both"/>
      </w:pPr>
    </w:p>
    <w:p w:rsidR="0086247D" w:rsidRDefault="00FD1535">
      <w:pPr>
        <w:spacing w:line="276" w:lineRule="auto"/>
        <w:jc w:val="both"/>
      </w:pPr>
      <w:r>
        <w:t xml:space="preserve">A pesar de las décadas de trabajo para reparar las atrocidades del Holocausto, sus consecuencias se siguen viendo en la actualidad y, aún desde acciones mínimas, según la Oficina del Alto Comisionado de las Naciones Unidas para los Derechos Humanos, “Las manifestaciones e incidentes antisemitas, desde las formas tácitas, encubiertas y codificadas hasta los comportamientos discriminatorios, pasando por el acoso y la violencia, son constantes y plantean graves problemas que afectan a sociedades enteras.” Así, entendemos que esta problemática no sólo afecta a judíos, sino que además </w:t>
      </w:r>
      <w:r>
        <w:rPr>
          <w:b/>
        </w:rPr>
        <w:t>amenaza directamente los derechos humanos de todas las personas</w:t>
      </w:r>
      <w:r>
        <w:t>, y viola el derecho a la libertad de creencias</w:t>
      </w:r>
      <w:r>
        <w:rPr>
          <w:vertAlign w:val="superscript"/>
        </w:rPr>
        <w:footnoteReference w:id="19"/>
      </w:r>
      <w:r>
        <w:t>.</w:t>
      </w:r>
    </w:p>
    <w:p w:rsidR="0086247D" w:rsidRDefault="0086247D">
      <w:pPr>
        <w:spacing w:line="276" w:lineRule="auto"/>
        <w:jc w:val="both"/>
      </w:pPr>
    </w:p>
    <w:p w:rsidR="0086247D" w:rsidRDefault="00FD1535">
      <w:pPr>
        <w:spacing w:line="276" w:lineRule="auto"/>
        <w:jc w:val="both"/>
      </w:pPr>
      <w:r>
        <w:t xml:space="preserve">Al respecto, la UNESCO a través de su documento </w:t>
      </w:r>
      <w:r>
        <w:rPr>
          <w:i/>
        </w:rPr>
        <w:t>Prevención del antisemitismo mediante la educación</w:t>
      </w:r>
      <w:r>
        <w:t xml:space="preserve"> del año 2019 establece una serie de lineamientos en materia educativa para la prevención de estas conductas de odio en el marco sobre los derechos humanos y ciudadanía mundial. Al respecto manifiesta que existe un riesgo mayor de conductas antisemitas manifestado a partir de redes sociales, donde, según UNESCO, grupos extremistas fomentan mensajes antisemitas que “ponen en peligro la seguridad y los derechos fundamentales de todos los ciudadanos” (P.P. 17)</w:t>
      </w:r>
      <w:r>
        <w:rPr>
          <w:vertAlign w:val="superscript"/>
        </w:rPr>
        <w:footnoteReference w:id="20"/>
      </w:r>
      <w:r>
        <w:t xml:space="preserve">. </w:t>
      </w:r>
    </w:p>
    <w:p w:rsidR="0086247D" w:rsidRDefault="0086247D">
      <w:pPr>
        <w:spacing w:line="276" w:lineRule="auto"/>
        <w:jc w:val="both"/>
      </w:pPr>
    </w:p>
    <w:p w:rsidR="0086247D" w:rsidRDefault="00FD1535">
      <w:pPr>
        <w:spacing w:line="276" w:lineRule="auto"/>
        <w:jc w:val="both"/>
      </w:pPr>
      <w:r>
        <w:t xml:space="preserve">En esta vía, se identifican varios factores del antisemitismo, a saber: la generación de estereotipos y difamaciones en contra de los </w:t>
      </w:r>
      <w:proofErr w:type="spellStart"/>
      <w:proofErr w:type="gramStart"/>
      <w:r>
        <w:t>judíos,como</w:t>
      </w:r>
      <w:proofErr w:type="spellEnd"/>
      <w:proofErr w:type="gramEnd"/>
      <w:r>
        <w:t xml:space="preserve"> las que replican que son imperialistas o que realizan afirmaciones sobre toda la comunidad </w:t>
      </w:r>
      <w:proofErr w:type="spellStart"/>
      <w:r>
        <w:t>judia</w:t>
      </w:r>
      <w:proofErr w:type="spellEnd"/>
      <w:r>
        <w:t xml:space="preserve"> basadas por las acciones de algunos israelíes; y las teorías conspirativas, como en las cuales dicen que una élite judía manipula las agendas mundiales.</w:t>
      </w:r>
    </w:p>
    <w:p w:rsidR="0086247D" w:rsidRDefault="0086247D">
      <w:pPr>
        <w:spacing w:line="276" w:lineRule="auto"/>
        <w:jc w:val="both"/>
      </w:pPr>
    </w:p>
    <w:p w:rsidR="0086247D" w:rsidRDefault="00FD1535">
      <w:pPr>
        <w:spacing w:line="276" w:lineRule="auto"/>
        <w:jc w:val="both"/>
      </w:pPr>
      <w:r>
        <w:t xml:space="preserve">Así, según UNESCO (2019) existen algunos elementos que se le suman al antisemitismo moderno tales como el </w:t>
      </w:r>
      <w:proofErr w:type="spellStart"/>
      <w:r>
        <w:t>negacionismo</w:t>
      </w:r>
      <w:proofErr w:type="spellEnd"/>
      <w:r>
        <w:t xml:space="preserve"> y la distorsión del Holocausto, el antisemitismo secundario que trivializa temas como el Holocausto y busca justificar con ello que “los judíos manipulan las agendas </w:t>
      </w:r>
      <w:proofErr w:type="spellStart"/>
      <w:r>
        <w:t>victimizandose</w:t>
      </w:r>
      <w:proofErr w:type="spellEnd"/>
      <w:r>
        <w:t>”, la justificación de actos antisemitas por la situación en el oriente próximo</w:t>
      </w:r>
      <w:r>
        <w:rPr>
          <w:vertAlign w:val="superscript"/>
        </w:rPr>
        <w:footnoteReference w:id="21"/>
      </w:r>
      <w:r>
        <w:t xml:space="preserve"> y la expresión de actos antisemitas en redes sociales y en internet en general. </w:t>
      </w:r>
    </w:p>
    <w:p w:rsidR="0086247D" w:rsidRDefault="0086247D">
      <w:pPr>
        <w:spacing w:line="276" w:lineRule="auto"/>
        <w:jc w:val="both"/>
      </w:pPr>
    </w:p>
    <w:p w:rsidR="0086247D" w:rsidRDefault="00FD1535">
      <w:pPr>
        <w:spacing w:line="276" w:lineRule="auto"/>
        <w:jc w:val="both"/>
      </w:pPr>
      <w:r>
        <w:t xml:space="preserve">De esto último, hace referencia al informe anual </w:t>
      </w:r>
      <w:r>
        <w:rPr>
          <w:i/>
        </w:rPr>
        <w:t xml:space="preserve">Digital </w:t>
      </w:r>
      <w:proofErr w:type="spellStart"/>
      <w:r>
        <w:rPr>
          <w:i/>
        </w:rPr>
        <w:t>Terrorism</w:t>
      </w:r>
      <w:proofErr w:type="spellEnd"/>
      <w:r>
        <w:rPr>
          <w:i/>
        </w:rPr>
        <w:t xml:space="preserve"> and </w:t>
      </w:r>
      <w:proofErr w:type="spellStart"/>
      <w:r>
        <w:rPr>
          <w:i/>
        </w:rPr>
        <w:t>Hate</w:t>
      </w:r>
      <w:proofErr w:type="spellEnd"/>
      <w:r>
        <w:rPr>
          <w:i/>
        </w:rPr>
        <w:t xml:space="preserve"> </w:t>
      </w:r>
      <w:r>
        <w:t>[Terrorismo y odio digitales], en el informe de 2023</w:t>
      </w:r>
      <w:r>
        <w:rPr>
          <w:vertAlign w:val="superscript"/>
        </w:rPr>
        <w:footnoteReference w:id="22"/>
      </w:r>
      <w:r>
        <w:t xml:space="preserve">, expone cuentas que fomentan el antisemitismo en América Latina y en el mundo, evidenciando su accionar de </w:t>
      </w:r>
      <w:proofErr w:type="spellStart"/>
      <w:r>
        <w:t>replica</w:t>
      </w:r>
      <w:proofErr w:type="spellEnd"/>
      <w:r>
        <w:t xml:space="preserve"> de odio en contra de los judíos. De esta manera, el informe muestra que en lo que respecta a acciones terroristas y de odio en el mundo, el antisemitismo tiene un porcentaje de cuentas y mensajes representativo, donde se encuentran desde grupos extremistas antisemitas, grupos que divulgan </w:t>
      </w:r>
      <w:proofErr w:type="spellStart"/>
      <w:r>
        <w:t>imagenes</w:t>
      </w:r>
      <w:proofErr w:type="spellEnd"/>
      <w:r>
        <w:t xml:space="preserve"> de los ataques a israelíes y judíos y cuentas que publican contenido antisemita. </w:t>
      </w:r>
    </w:p>
    <w:p w:rsidR="0086247D" w:rsidRDefault="0086247D">
      <w:pPr>
        <w:spacing w:line="276" w:lineRule="auto"/>
        <w:jc w:val="both"/>
      </w:pPr>
    </w:p>
    <w:p w:rsidR="0086247D" w:rsidRDefault="00FD1535">
      <w:pPr>
        <w:spacing w:line="276" w:lineRule="auto"/>
        <w:jc w:val="both"/>
      </w:pPr>
      <w:r>
        <w:t xml:space="preserve">Lo anterior, se ha podido ver en escenarios palpables en el mundo. Si se observa el caso de </w:t>
      </w:r>
      <w:proofErr w:type="spellStart"/>
      <w:r>
        <w:t>TikTok</w:t>
      </w:r>
      <w:proofErr w:type="spellEnd"/>
      <w:r>
        <w:t xml:space="preserve"> exclusivamente, más que ser una narrativa popular, en la actualidad sí se ha visto un creciente contenido discriminatorio al que están expuestos todos los usuarios. Esto puede generar que, judíos se sientan agredidos y también propagar ideas discriminatorias en los consumidores del contenido. </w:t>
      </w:r>
    </w:p>
    <w:p w:rsidR="0086247D" w:rsidRDefault="0086247D">
      <w:pPr>
        <w:spacing w:line="276" w:lineRule="auto"/>
        <w:jc w:val="both"/>
      </w:pPr>
    </w:p>
    <w:p w:rsidR="0086247D" w:rsidRDefault="00FD1535">
      <w:pPr>
        <w:spacing w:line="276" w:lineRule="auto"/>
        <w:jc w:val="both"/>
      </w:pPr>
      <w:r>
        <w:t xml:space="preserve">Según Gabriel </w:t>
      </w:r>
      <w:proofErr w:type="spellStart"/>
      <w:r>
        <w:t>Weimann</w:t>
      </w:r>
      <w:proofErr w:type="spellEnd"/>
      <w:r>
        <w:t xml:space="preserve"> y Natalie </w:t>
      </w:r>
      <w:proofErr w:type="spellStart"/>
      <w:r>
        <w:t>Masri</w:t>
      </w:r>
      <w:proofErr w:type="spellEnd"/>
      <w:r>
        <w:t xml:space="preserve">, las redes </w:t>
      </w:r>
      <w:proofErr w:type="gramStart"/>
      <w:r>
        <w:t>sociales  como</w:t>
      </w:r>
      <w:proofErr w:type="gramEnd"/>
      <w:r>
        <w:t xml:space="preserve"> </w:t>
      </w:r>
      <w:proofErr w:type="spellStart"/>
      <w:r>
        <w:t>TikTok</w:t>
      </w:r>
      <w:proofErr w:type="spellEnd"/>
      <w:r>
        <w:t xml:space="preserve"> se han vuelto un imán para contenido extremista y violento, lo que además es alarmante teniendo en cuenta la popularidad de dicha red social entre jóvenes. El contenido de la plataforma entre febrero y mayo de 2020 y 2021, tuvo un aumento del 41% de </w:t>
      </w:r>
      <w:proofErr w:type="spellStart"/>
      <w:r>
        <w:rPr>
          <w:i/>
        </w:rPr>
        <w:t>posts</w:t>
      </w:r>
      <w:proofErr w:type="spellEnd"/>
      <w:r>
        <w:t xml:space="preserve"> antisemitas, 912% de aumento de comentarios antisemitas, y un 1.375% de nombres de usuario antisemitas (</w:t>
      </w:r>
      <w:proofErr w:type="spellStart"/>
      <w:r>
        <w:t>Weimann</w:t>
      </w:r>
      <w:proofErr w:type="spellEnd"/>
      <w:r>
        <w:t xml:space="preserve">, </w:t>
      </w:r>
      <w:proofErr w:type="spellStart"/>
      <w:r>
        <w:t>Masri</w:t>
      </w:r>
      <w:proofErr w:type="spellEnd"/>
      <w:r>
        <w:t>, 2022)</w:t>
      </w:r>
      <w:r>
        <w:rPr>
          <w:vertAlign w:val="superscript"/>
        </w:rPr>
        <w:footnoteReference w:id="23"/>
      </w:r>
      <w:r>
        <w:t xml:space="preserve">. </w:t>
      </w:r>
    </w:p>
    <w:p w:rsidR="0086247D" w:rsidRDefault="0086247D">
      <w:pPr>
        <w:spacing w:line="276" w:lineRule="auto"/>
        <w:jc w:val="both"/>
      </w:pPr>
    </w:p>
    <w:p w:rsidR="0086247D" w:rsidRDefault="00FD1535">
      <w:pPr>
        <w:spacing w:line="276" w:lineRule="auto"/>
        <w:jc w:val="both"/>
      </w:pPr>
      <w:r>
        <w:t xml:space="preserve">Aunque en una plataforma tan masiva como </w:t>
      </w:r>
      <w:proofErr w:type="spellStart"/>
      <w:r>
        <w:t>TikTok</w:t>
      </w:r>
      <w:proofErr w:type="spellEnd"/>
      <w:r>
        <w:t xml:space="preserve">, el porcentaje de contenido antisemita sea un relativamente bajo en relación con el contenido global, cualquier post o comentario podría tener una gran audiencia debido al gran número de usuarios que tiene. Un ejemplo de esto, es una canción antisemita que trataba sobre judíos siendo asesinados en Auschwitz, que fue vista más de seis millones de veces. Lo anterior, se encontró </w:t>
      </w:r>
      <w:proofErr w:type="spellStart"/>
      <w:r>
        <w:t>aún</w:t>
      </w:r>
      <w:proofErr w:type="spellEnd"/>
      <w:r>
        <w:t xml:space="preserve"> cuando la plataforma había anunciado su regulación en contra del discurso de odio.</w:t>
      </w:r>
    </w:p>
    <w:p w:rsidR="0086247D" w:rsidRDefault="0086247D">
      <w:pPr>
        <w:spacing w:line="276" w:lineRule="auto"/>
        <w:jc w:val="both"/>
      </w:pPr>
    </w:p>
    <w:p w:rsidR="0086247D" w:rsidRDefault="00FD1535">
      <w:pPr>
        <w:spacing w:line="276" w:lineRule="auto"/>
        <w:jc w:val="both"/>
      </w:pPr>
      <w:r>
        <w:t xml:space="preserve">Según el Congreso Judío Mundial, en los primeros meses de la pandemia se registró un aumento del 30% de los contenidos antisemitas en redes sociales, tan solo en </w:t>
      </w:r>
      <w:proofErr w:type="spellStart"/>
      <w:r>
        <w:t>TikTok</w:t>
      </w:r>
      <w:proofErr w:type="spellEnd"/>
      <w:r>
        <w:t xml:space="preserve">, el 17% de contenido relacionado con el holocausto es </w:t>
      </w:r>
      <w:proofErr w:type="spellStart"/>
      <w:r>
        <w:t>negacionista</w:t>
      </w:r>
      <w:proofErr w:type="spellEnd"/>
      <w:r>
        <w:t xml:space="preserve"> o distorsiona lo sucedido en esta barbarie</w:t>
      </w:r>
      <w:r>
        <w:rPr>
          <w:vertAlign w:val="superscript"/>
        </w:rPr>
        <w:footnoteReference w:id="24"/>
      </w:r>
      <w:r>
        <w:t xml:space="preserve">. </w:t>
      </w:r>
    </w:p>
    <w:p w:rsidR="0086247D" w:rsidRDefault="0086247D">
      <w:pPr>
        <w:spacing w:line="276" w:lineRule="auto"/>
        <w:jc w:val="both"/>
      </w:pPr>
    </w:p>
    <w:p w:rsidR="0086247D" w:rsidRDefault="00FD1535">
      <w:pPr>
        <w:spacing w:line="276" w:lineRule="auto"/>
        <w:jc w:val="both"/>
      </w:pPr>
      <w:r>
        <w:t xml:space="preserve">Teniendo en cuenta el aumento latente de </w:t>
      </w:r>
      <w:proofErr w:type="spellStart"/>
      <w:r>
        <w:t>ansitemitismo</w:t>
      </w:r>
      <w:proofErr w:type="spellEnd"/>
      <w:r>
        <w:t xml:space="preserve"> en el mundo, es </w:t>
      </w:r>
      <w:proofErr w:type="gramStart"/>
      <w:r>
        <w:t>válido  mencionar</w:t>
      </w:r>
      <w:proofErr w:type="gramEnd"/>
      <w:r>
        <w:t xml:space="preserve"> uno de los sucesos recientes donde se evidenció de forma extrema. El ataque del 7 de octubre de 2023, en el que Hamas, considerado una organización terrorista por varios países, perpetró un atentado en territorio israelí</w:t>
      </w:r>
      <w:r>
        <w:rPr>
          <w:vertAlign w:val="superscript"/>
        </w:rPr>
        <w:footnoteReference w:id="25"/>
      </w:r>
      <w:r>
        <w:t>, dejando un saldo de 1.200 personas asesinadas y cerca de 200 secuestrados, de los cuales más de 100 aún no han sido liberados</w:t>
      </w:r>
      <w:r>
        <w:rPr>
          <w:vertAlign w:val="superscript"/>
        </w:rPr>
        <w:footnoteReference w:id="26"/>
      </w:r>
      <w:r>
        <w:t>. Lo anterior, sin contar la violencia sexual y selectiva a mujeres israelíes, que como se observa en imágenes difundidas en redes sociales, habían sido llevadas contra su voluntad a la Franja de Gaza, algunas de ellas apenas vestidas, heridas y sangrando.</w:t>
      </w:r>
    </w:p>
    <w:p w:rsidR="0086247D" w:rsidRDefault="00FD1535">
      <w:pPr>
        <w:spacing w:line="276" w:lineRule="auto"/>
        <w:jc w:val="both"/>
      </w:pPr>
      <w:r>
        <w:t xml:space="preserve"> </w:t>
      </w:r>
    </w:p>
    <w:p w:rsidR="0086247D" w:rsidRDefault="00FD1535">
      <w:pPr>
        <w:spacing w:line="276" w:lineRule="auto"/>
        <w:jc w:val="both"/>
      </w:pPr>
      <w:r>
        <w:t xml:space="preserve">Según </w:t>
      </w:r>
      <w:proofErr w:type="spellStart"/>
      <w:r>
        <w:t>Cochav</w:t>
      </w:r>
      <w:proofErr w:type="spellEnd"/>
      <w:r>
        <w:t xml:space="preserve"> </w:t>
      </w:r>
      <w:proofErr w:type="spellStart"/>
      <w:r>
        <w:t>Elkayam</w:t>
      </w:r>
      <w:proofErr w:type="spellEnd"/>
      <w:r>
        <w:t xml:space="preserve"> Levy, fundadora de la "Comisión civil sobre los crímenes cometidos por Hamás el 7 de octubre contra mujeres y niños", la violencia sexual fue utilizada como arma y fueron cometidos "crímenes contra la humanidad", y se cuenta con material donde se puede ver y oír a una superviviente describiendo la violación de una mujer por varios terroristas de Hamás, quien luego fue asesinada y a la que posteriormente le habrían cortado los pechos. En otros testimonios, uno dado por la asistente del servicio de rescate israelí </w:t>
      </w:r>
      <w:proofErr w:type="spellStart"/>
      <w:r>
        <w:t>Zaka</w:t>
      </w:r>
      <w:proofErr w:type="spellEnd"/>
      <w:r>
        <w:t>, denuncia haber encontrado cadáveres de mujeres cruelmente mutiladas en sus partes íntimas y en el de un presunto terrorista que, bajo el interrogatorio de un israelí, admite que les habían ordenado violar a mujeres antes de cometer el atentado</w:t>
      </w:r>
      <w:r>
        <w:rPr>
          <w:vertAlign w:val="superscript"/>
        </w:rPr>
        <w:footnoteReference w:id="27"/>
      </w:r>
      <w:r>
        <w:t>.</w:t>
      </w:r>
    </w:p>
    <w:p w:rsidR="0086247D" w:rsidRDefault="0086247D">
      <w:pPr>
        <w:spacing w:line="276" w:lineRule="auto"/>
        <w:jc w:val="both"/>
      </w:pPr>
    </w:p>
    <w:p w:rsidR="0086247D" w:rsidRDefault="00FD1535">
      <w:pPr>
        <w:spacing w:line="276" w:lineRule="auto"/>
        <w:jc w:val="both"/>
      </w:pPr>
      <w:r>
        <w:t>Ahora bien, con los hechos mencionados anteriormente, aunque se esperaría acompañamiento de los organismos internacionales para continuar en la búsqueda de una reparación, se reveló la falta de acompañamiento por parte de dichos actores. El comunicado de la Organización de las Naciones Unidas para las Mujeres</w:t>
      </w:r>
      <w:r>
        <w:rPr>
          <w:vertAlign w:val="superscript"/>
        </w:rPr>
        <w:footnoteReference w:id="28"/>
      </w:r>
      <w:r>
        <w:t xml:space="preserve">, además de publicarse casi dos meses después de los hechos, no condena los hechos con severidad ni contundencia. </w:t>
      </w:r>
    </w:p>
    <w:p w:rsidR="0086247D" w:rsidRDefault="0086247D">
      <w:pPr>
        <w:spacing w:line="276" w:lineRule="auto"/>
        <w:jc w:val="both"/>
      </w:pPr>
    </w:p>
    <w:p w:rsidR="0086247D" w:rsidRDefault="00FD1535">
      <w:pPr>
        <w:spacing w:line="276" w:lineRule="auto"/>
        <w:jc w:val="both"/>
      </w:pPr>
      <w:r>
        <w:t xml:space="preserve">A pesar de lo mencionado anteriormente, es posible asociar directamente los comportamientos antisemitas con sucesos “extremos” como el Holocausto o lo sucedido el 7 octubre. Sin embargo, la organización </w:t>
      </w:r>
      <w:proofErr w:type="spellStart"/>
      <w:r>
        <w:t>Combat</w:t>
      </w:r>
      <w:proofErr w:type="spellEnd"/>
      <w:r>
        <w:t xml:space="preserve"> </w:t>
      </w:r>
      <w:proofErr w:type="spellStart"/>
      <w:r>
        <w:t>Antisemitism</w:t>
      </w:r>
      <w:proofErr w:type="spellEnd"/>
      <w:r>
        <w:t>, presentó los diez incidentes antisemitas más impactantes sucedidos en el mes de diciembre de 2023</w:t>
      </w:r>
      <w:r>
        <w:rPr>
          <w:vertAlign w:val="superscript"/>
        </w:rPr>
        <w:footnoteReference w:id="29"/>
      </w:r>
      <w:r>
        <w:t>. Entre estos estaban:</w:t>
      </w:r>
    </w:p>
    <w:p w:rsidR="0086247D" w:rsidRDefault="0086247D">
      <w:pPr>
        <w:spacing w:line="276" w:lineRule="auto"/>
        <w:jc w:val="both"/>
      </w:pPr>
    </w:p>
    <w:p w:rsidR="0086247D" w:rsidRDefault="00FD1535">
      <w:pPr>
        <w:numPr>
          <w:ilvl w:val="0"/>
          <w:numId w:val="3"/>
        </w:numPr>
        <w:spacing w:line="276" w:lineRule="auto"/>
        <w:jc w:val="both"/>
      </w:pPr>
      <w:r>
        <w:t>Un hombre grita “Palestina Libre” después de disparar dos veces fuera de una sinagoga en Nueva York.</w:t>
      </w:r>
    </w:p>
    <w:p w:rsidR="0086247D" w:rsidRDefault="00FD1535">
      <w:pPr>
        <w:numPr>
          <w:ilvl w:val="0"/>
          <w:numId w:val="3"/>
        </w:numPr>
        <w:spacing w:line="276" w:lineRule="auto"/>
        <w:jc w:val="both"/>
      </w:pPr>
      <w:r>
        <w:t xml:space="preserve">Los presidentes de las universidades de Harvard, Massachusetts </w:t>
      </w:r>
      <w:proofErr w:type="spellStart"/>
      <w:r>
        <w:t>Institute</w:t>
      </w:r>
      <w:proofErr w:type="spellEnd"/>
      <w:r>
        <w:t xml:space="preserve"> of </w:t>
      </w:r>
      <w:proofErr w:type="spellStart"/>
      <w:r>
        <w:t>Technology</w:t>
      </w:r>
      <w:proofErr w:type="spellEnd"/>
      <w:r>
        <w:t xml:space="preserve"> y Pennsylvania, todas </w:t>
      </w:r>
      <w:proofErr w:type="spellStart"/>
      <w:r>
        <w:rPr>
          <w:i/>
        </w:rPr>
        <w:t>ivy</w:t>
      </w:r>
      <w:proofErr w:type="spellEnd"/>
      <w:r>
        <w:rPr>
          <w:i/>
        </w:rPr>
        <w:t xml:space="preserve"> league, </w:t>
      </w:r>
      <w:r>
        <w:t>afirmaron que “llamar al genocidio de los judíos” solo dependiendo del contexto podría estar en contra de los códigos de conducta.</w:t>
      </w:r>
    </w:p>
    <w:p w:rsidR="0086247D" w:rsidRDefault="00FD1535">
      <w:pPr>
        <w:numPr>
          <w:ilvl w:val="0"/>
          <w:numId w:val="3"/>
        </w:numPr>
        <w:spacing w:line="276" w:lineRule="auto"/>
        <w:jc w:val="both"/>
      </w:pPr>
      <w:r>
        <w:t>Autoridades alemanas frustraron un ataque por parte de miembros vinculados con Hamas hacia instituciones judías. De estas células vinculadas con Hamas, se sabe que operan en algunas fronteras europeas.</w:t>
      </w:r>
    </w:p>
    <w:p w:rsidR="0086247D" w:rsidRDefault="00FD1535">
      <w:pPr>
        <w:numPr>
          <w:ilvl w:val="0"/>
          <w:numId w:val="3"/>
        </w:numPr>
        <w:spacing w:line="276" w:lineRule="auto"/>
        <w:jc w:val="both"/>
      </w:pPr>
      <w:r>
        <w:t>Un niño de 13 años fue acusado de planear un tiroteo masivo en</w:t>
      </w:r>
      <w:r>
        <w:rPr>
          <w:i/>
        </w:rPr>
        <w:t xml:space="preserve"> Temple Israel </w:t>
      </w:r>
      <w:r>
        <w:t>en Ohio, Estados Unidos.</w:t>
      </w:r>
    </w:p>
    <w:p w:rsidR="0086247D" w:rsidRDefault="00FD1535">
      <w:pPr>
        <w:numPr>
          <w:ilvl w:val="0"/>
          <w:numId w:val="3"/>
        </w:numPr>
        <w:spacing w:line="276" w:lineRule="auto"/>
        <w:jc w:val="both"/>
      </w:pPr>
      <w:r>
        <w:t>Un hombre armado entró a una guardería en París y le dijo a la directora “Eres judía, te vamos a violar.”</w:t>
      </w:r>
    </w:p>
    <w:p w:rsidR="0086247D" w:rsidRDefault="0086247D">
      <w:pPr>
        <w:spacing w:line="276" w:lineRule="auto"/>
        <w:jc w:val="both"/>
      </w:pPr>
    </w:p>
    <w:p w:rsidR="0086247D" w:rsidRDefault="00FD1535">
      <w:pPr>
        <w:spacing w:line="276" w:lineRule="auto"/>
        <w:jc w:val="both"/>
        <w:rPr>
          <w:highlight w:val="red"/>
        </w:rPr>
      </w:pPr>
      <w:r>
        <w:t>Ahora bien, mientras dichos eventos se dan en diversos lugares del mundo, Colombia ha evidenciado diferentes muestras de antisemitismo. En 2021 en Tuluá, una escuela de la Policía Nacional decidió decorar su recinto para un evento con símbolos nazis</w:t>
      </w:r>
      <w:r>
        <w:rPr>
          <w:vertAlign w:val="superscript"/>
        </w:rPr>
        <w:footnoteReference w:id="30"/>
      </w:r>
      <w:r>
        <w:t xml:space="preserve">. Adicionalmente, en ese mismo año, medios de comunicación denunciaron que en uno de los clubes sociales de Bogotá, el </w:t>
      </w:r>
      <w:proofErr w:type="spellStart"/>
      <w:r>
        <w:t>Gun</w:t>
      </w:r>
      <w:proofErr w:type="spellEnd"/>
      <w:r>
        <w:t xml:space="preserve"> Club, exhibía vitrinas con figuras representando un desfile del ejército nazi</w:t>
      </w:r>
      <w:r>
        <w:rPr>
          <w:vertAlign w:val="superscript"/>
        </w:rPr>
        <w:footnoteReference w:id="31"/>
      </w:r>
      <w:r>
        <w:t xml:space="preserve">. La gravedad de estos hechos se incrementa teniendo en cuenta </w:t>
      </w:r>
      <w:proofErr w:type="gramStart"/>
      <w:r>
        <w:t>que</w:t>
      </w:r>
      <w:proofErr w:type="gramEnd"/>
      <w:r>
        <w:t xml:space="preserve"> con anterioridad, en el año 2019, se presentó un hecho antisemita en el cual </w:t>
      </w:r>
      <w:proofErr w:type="spellStart"/>
      <w:r>
        <w:t>vandalizaron</w:t>
      </w:r>
      <w:proofErr w:type="spellEnd"/>
      <w:r>
        <w:t xml:space="preserve"> el monumento del Estado de Israel en Bogotá, con una esvástica pintada y la palabra “Israel” tachada. </w:t>
      </w:r>
    </w:p>
    <w:p w:rsidR="0086247D" w:rsidRDefault="0086247D">
      <w:pPr>
        <w:spacing w:line="276" w:lineRule="auto"/>
        <w:jc w:val="both"/>
      </w:pPr>
    </w:p>
    <w:p w:rsidR="0086247D" w:rsidRDefault="00FD1535">
      <w:pPr>
        <w:spacing w:line="276" w:lineRule="auto"/>
        <w:jc w:val="both"/>
      </w:pPr>
      <w:r>
        <w:t xml:space="preserve">De forma adicional, cabe aclarar </w:t>
      </w:r>
      <w:proofErr w:type="gramStart"/>
      <w:r>
        <w:t>que</w:t>
      </w:r>
      <w:proofErr w:type="gramEnd"/>
      <w:r>
        <w:t xml:space="preserve"> en el año 2023, tras los hechos perpetrados en Israel y que desencadenaron en la declaración de guerra en contra de Hamás, las muestras de apoyo al Estado de Palestina en la ciudad se volcaron en acciones antisemitas. De ello, desde el Gobierno Nacional se realizaron aseveraciones que generaron una crisis en las relaciones entre Colombia e Israel. </w:t>
      </w:r>
    </w:p>
    <w:p w:rsidR="0086247D" w:rsidRDefault="0086247D">
      <w:pPr>
        <w:spacing w:line="276" w:lineRule="auto"/>
        <w:jc w:val="both"/>
      </w:pPr>
    </w:p>
    <w:p w:rsidR="0086247D" w:rsidRDefault="00FD1535">
      <w:pPr>
        <w:spacing w:line="276" w:lineRule="auto"/>
        <w:jc w:val="both"/>
      </w:pPr>
      <w:r>
        <w:t>De esta manera, en concordancia con dicha narrativa antisemita que ha surgido del conflicto en Gaza, en octubre de 2023, las instalaciones de la Embajada de Israel en Bogotá y sus alrededores fueron atacadas en dos ocasiones por un grupo de personas, quienes, ocultando su identidad mediante el uso de capuchas, pintaron la fachada del edificio con esvásticas</w:t>
      </w:r>
      <w:r>
        <w:rPr>
          <w:vertAlign w:val="superscript"/>
        </w:rPr>
        <w:footnoteReference w:id="32"/>
      </w:r>
      <w:r>
        <w:t>.</w:t>
      </w:r>
    </w:p>
    <w:p w:rsidR="0086247D" w:rsidRDefault="0086247D">
      <w:pPr>
        <w:spacing w:line="276" w:lineRule="auto"/>
        <w:jc w:val="both"/>
      </w:pPr>
    </w:p>
    <w:p w:rsidR="0086247D" w:rsidRDefault="00FD1535">
      <w:pPr>
        <w:spacing w:line="276" w:lineRule="auto"/>
        <w:jc w:val="both"/>
      </w:pPr>
      <w:r>
        <w:t>Ahora bien, aunque en el Estado de Israel hay seis millones de judíos, es válido recordar la presencia de dicha comunidad en Colombia. Actualmente, en el país hay una comunidad de 6.000 judíos en Bogotá, Cali, Barranquilla y Medellín</w:t>
      </w:r>
      <w:r>
        <w:rPr>
          <w:vertAlign w:val="superscript"/>
        </w:rPr>
        <w:footnoteReference w:id="33"/>
      </w:r>
      <w:r>
        <w:t xml:space="preserve">. De esta manera y bajo el entendido de que Bogotá es la ciudad con mayor representación judía actual e histórica en el país, y teniendo en cuenta el riesgo de continuo aumento de acciones antisemitas en la ciudad, es pertinente que desde el Concejo de Bogotá se dicten las normas necesarias para garantizar la no discriminación del pueblo judío en la ciudad. </w:t>
      </w:r>
    </w:p>
    <w:p w:rsidR="0086247D" w:rsidRDefault="0086247D">
      <w:pPr>
        <w:spacing w:line="276" w:lineRule="auto"/>
        <w:rPr>
          <w:b/>
        </w:rPr>
      </w:pPr>
    </w:p>
    <w:p w:rsidR="0086247D" w:rsidRDefault="0086247D">
      <w:pPr>
        <w:jc w:val="both"/>
      </w:pPr>
    </w:p>
    <w:p w:rsidR="0086247D" w:rsidRDefault="00FD1535">
      <w:pPr>
        <w:numPr>
          <w:ilvl w:val="0"/>
          <w:numId w:val="4"/>
        </w:numPr>
        <w:pBdr>
          <w:top w:val="nil"/>
          <w:left w:val="nil"/>
          <w:bottom w:val="nil"/>
          <w:right w:val="nil"/>
          <w:between w:val="nil"/>
        </w:pBdr>
        <w:jc w:val="both"/>
        <w:rPr>
          <w:b/>
        </w:rPr>
      </w:pPr>
      <w:r>
        <w:rPr>
          <w:b/>
        </w:rPr>
        <w:t>MARCO JURÍDICO Y COMPETENCIA DEL CONCEJO DE BOGOTÁ</w:t>
      </w:r>
    </w:p>
    <w:p w:rsidR="0086247D" w:rsidRDefault="0086247D">
      <w:pPr>
        <w:pBdr>
          <w:top w:val="nil"/>
          <w:left w:val="nil"/>
          <w:bottom w:val="nil"/>
          <w:right w:val="nil"/>
          <w:between w:val="nil"/>
        </w:pBdr>
        <w:jc w:val="both"/>
        <w:rPr>
          <w:b/>
        </w:rPr>
      </w:pPr>
    </w:p>
    <w:p w:rsidR="0086247D" w:rsidRDefault="00FD1535">
      <w:pPr>
        <w:pBdr>
          <w:top w:val="nil"/>
          <w:left w:val="nil"/>
          <w:bottom w:val="nil"/>
          <w:right w:val="nil"/>
          <w:between w:val="nil"/>
        </w:pBdr>
        <w:jc w:val="center"/>
        <w:rPr>
          <w:b/>
        </w:rPr>
      </w:pPr>
      <w:r>
        <w:rPr>
          <w:b/>
        </w:rPr>
        <w:t>MARCO JURÍDICO</w:t>
      </w:r>
    </w:p>
    <w:p w:rsidR="0086247D" w:rsidRDefault="0086247D">
      <w:pPr>
        <w:pBdr>
          <w:top w:val="nil"/>
          <w:left w:val="nil"/>
          <w:bottom w:val="nil"/>
          <w:right w:val="nil"/>
          <w:between w:val="nil"/>
        </w:pBdr>
        <w:jc w:val="both"/>
      </w:pPr>
    </w:p>
    <w:p w:rsidR="0086247D" w:rsidRDefault="00FD1535">
      <w:pPr>
        <w:spacing w:line="276" w:lineRule="auto"/>
        <w:jc w:val="both"/>
        <w:rPr>
          <w:b/>
        </w:rPr>
      </w:pPr>
      <w:r>
        <w:rPr>
          <w:b/>
        </w:rPr>
        <w:t xml:space="preserve">CONSTITUCIÓN POLÍTICA </w:t>
      </w:r>
    </w:p>
    <w:p w:rsidR="0086247D" w:rsidRDefault="0086247D">
      <w:pPr>
        <w:spacing w:line="276" w:lineRule="auto"/>
        <w:jc w:val="both"/>
      </w:pPr>
    </w:p>
    <w:p w:rsidR="0086247D" w:rsidRDefault="00FD1535">
      <w:pPr>
        <w:spacing w:line="276" w:lineRule="auto"/>
        <w:jc w:val="both"/>
      </w:pPr>
      <w:r>
        <w:t xml:space="preserve">La Carta Magna establece: </w:t>
      </w:r>
    </w:p>
    <w:p w:rsidR="0086247D" w:rsidRDefault="00FD1535">
      <w:pPr>
        <w:spacing w:line="276" w:lineRule="auto"/>
        <w:jc w:val="both"/>
      </w:pPr>
      <w:r>
        <w:rPr>
          <w:b/>
        </w:rPr>
        <w:t xml:space="preserve">ARTÍCULO 1. </w:t>
      </w:r>
      <w:r>
        <w:t>Colombia es un Estado social de derecho, organizado en forma de República unitaria, descentralizada, con autonomía de sus entidades territoriales, democrática, participativa y pluralista, fundada en el respeto de la dignidad humana, en el trabajo y la solidaridad de las personas que la integran y en la prevalencia del interés general.</w:t>
      </w:r>
    </w:p>
    <w:p w:rsidR="0086247D" w:rsidRDefault="0086247D">
      <w:pPr>
        <w:spacing w:line="276" w:lineRule="auto"/>
        <w:jc w:val="both"/>
      </w:pPr>
    </w:p>
    <w:p w:rsidR="0086247D" w:rsidRDefault="00FD1535">
      <w:pPr>
        <w:spacing w:line="276" w:lineRule="auto"/>
        <w:jc w:val="both"/>
      </w:pPr>
      <w:r>
        <w:rPr>
          <w:b/>
        </w:rPr>
        <w:t xml:space="preserve">ARTÍCULO 2. </w:t>
      </w:r>
      <w:r>
        <w:t>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w:t>
      </w:r>
    </w:p>
    <w:p w:rsidR="0086247D" w:rsidRDefault="00FD1535">
      <w:pPr>
        <w:spacing w:line="276" w:lineRule="auto"/>
        <w:jc w:val="both"/>
      </w:pPr>
      <w:r>
        <w:t>Las autoridades de la República están instituidas para proteger a todas las personas residentes en Colombia, en su vida, honra, bienes, creencias, y demás derechos y libertades, y para asegurar el cumplimiento de los deberes sociales del Estado y de los particulares.</w:t>
      </w:r>
    </w:p>
    <w:p w:rsidR="0086247D" w:rsidRDefault="0086247D">
      <w:pPr>
        <w:spacing w:line="276" w:lineRule="auto"/>
        <w:jc w:val="both"/>
      </w:pPr>
    </w:p>
    <w:p w:rsidR="0086247D" w:rsidRDefault="00FD1535">
      <w:pPr>
        <w:spacing w:line="276" w:lineRule="auto"/>
        <w:jc w:val="both"/>
      </w:pPr>
      <w:r>
        <w:rPr>
          <w:b/>
        </w:rPr>
        <w:t>ARTÍCULO 4.</w:t>
      </w:r>
      <w:r>
        <w:t xml:space="preserve"> La Constitución es norma de normas. En todo caso de incompatibilidad entre la Constitución y la ley u otra norma jurídica, se aplicarán las disposiciones constitucionales.</w:t>
      </w:r>
    </w:p>
    <w:p w:rsidR="0086247D" w:rsidRDefault="00FD1535">
      <w:pPr>
        <w:spacing w:line="276" w:lineRule="auto"/>
        <w:jc w:val="both"/>
      </w:pPr>
      <w:r>
        <w:t>Es deber de los nacionales y de los extranjeros en Colombia acatar la Constitución y las leyes, y respetar y obedecer a las autoridades.</w:t>
      </w:r>
    </w:p>
    <w:p w:rsidR="0086247D" w:rsidRDefault="0086247D">
      <w:pPr>
        <w:spacing w:line="276" w:lineRule="auto"/>
        <w:jc w:val="both"/>
      </w:pPr>
    </w:p>
    <w:p w:rsidR="0086247D" w:rsidRDefault="00FD1535">
      <w:pPr>
        <w:spacing w:line="276" w:lineRule="auto"/>
        <w:jc w:val="both"/>
      </w:pPr>
      <w:r>
        <w:rPr>
          <w:b/>
        </w:rPr>
        <w:t>ARTÍCULO 5</w:t>
      </w:r>
      <w:r>
        <w:t>. El Estado reconoce, sin discriminación alguna, la primacía de los derechos inalienables de la persona y ampara a la familia como institución básica de la sociedad.</w:t>
      </w:r>
    </w:p>
    <w:p w:rsidR="0086247D" w:rsidRDefault="0086247D">
      <w:pPr>
        <w:spacing w:line="276" w:lineRule="auto"/>
        <w:jc w:val="both"/>
      </w:pPr>
    </w:p>
    <w:p w:rsidR="0086247D" w:rsidRDefault="00FD1535">
      <w:pPr>
        <w:spacing w:line="276" w:lineRule="auto"/>
        <w:jc w:val="both"/>
      </w:pPr>
      <w:r>
        <w:rPr>
          <w:b/>
        </w:rPr>
        <w:t>ARTÍCULO 7.</w:t>
      </w:r>
      <w:r>
        <w:t xml:space="preserve"> El Estado reconoce y protege la diversidad étnica y cultural de la Nación colombiana.</w:t>
      </w:r>
    </w:p>
    <w:p w:rsidR="0086247D" w:rsidRDefault="0086247D">
      <w:pPr>
        <w:spacing w:line="276" w:lineRule="auto"/>
        <w:jc w:val="both"/>
      </w:pPr>
    </w:p>
    <w:p w:rsidR="0086247D" w:rsidRDefault="00FD1535">
      <w:pPr>
        <w:spacing w:line="276" w:lineRule="auto"/>
        <w:jc w:val="both"/>
      </w:pPr>
      <w:r>
        <w:rPr>
          <w:b/>
        </w:rPr>
        <w:t>ARTÍCULO 13</w:t>
      </w:r>
      <w:r>
        <w:t>. Todas las personas nacen libres e iguales ante la ley, recibirán la misma protección y trato de las autoridades y gozarán de los mismos derechos, libertades y oportunidades sin ninguna discriminación por razones de sexo, raza, origen nacional o familiar, lengua, religión, opinión política o filosófica.</w:t>
      </w:r>
    </w:p>
    <w:p w:rsidR="0086247D" w:rsidRDefault="00FD1535">
      <w:pPr>
        <w:spacing w:line="276" w:lineRule="auto"/>
        <w:jc w:val="both"/>
      </w:pPr>
      <w:r>
        <w:t>El Estado promoverá las condiciones para que la igualdad sea real y efectiva y adoptará medidas en favor de grupos discriminados o marginados.</w:t>
      </w:r>
    </w:p>
    <w:p w:rsidR="0086247D" w:rsidRDefault="00FD1535">
      <w:pPr>
        <w:spacing w:line="276" w:lineRule="auto"/>
        <w:jc w:val="both"/>
      </w:pPr>
      <w:r>
        <w:t xml:space="preserve">El Estado protegerá especialmente a aquellas personas </w:t>
      </w:r>
      <w:proofErr w:type="gramStart"/>
      <w:r>
        <w:t>que</w:t>
      </w:r>
      <w:proofErr w:type="gramEnd"/>
      <w:r>
        <w:t xml:space="preserve"> por su condición económica, física o mental, se encuentren en circunstancia de debilidad manifiesta y sancionará los abusos o maltratos que contra ellas se cometan.</w:t>
      </w:r>
    </w:p>
    <w:p w:rsidR="0086247D" w:rsidRDefault="0086247D">
      <w:pPr>
        <w:spacing w:line="276" w:lineRule="auto"/>
        <w:jc w:val="both"/>
      </w:pPr>
    </w:p>
    <w:p w:rsidR="0086247D" w:rsidRDefault="00FD1535">
      <w:pPr>
        <w:spacing w:line="276" w:lineRule="auto"/>
        <w:jc w:val="both"/>
      </w:pPr>
      <w:r>
        <w:rPr>
          <w:b/>
        </w:rPr>
        <w:t>ARTÍCULO 18.</w:t>
      </w:r>
      <w:r>
        <w:t xml:space="preserve"> Se garantiza la libertad de conciencia. Nadie será molestado por razón de sus convicciones o creencias ni compelido a revelarlas ni obligado a actuar contra su conciencia.</w:t>
      </w:r>
    </w:p>
    <w:p w:rsidR="0086247D" w:rsidRDefault="0086247D">
      <w:pPr>
        <w:spacing w:line="276" w:lineRule="auto"/>
        <w:jc w:val="both"/>
      </w:pPr>
    </w:p>
    <w:p w:rsidR="0086247D" w:rsidRDefault="00FD1535">
      <w:pPr>
        <w:spacing w:line="276" w:lineRule="auto"/>
        <w:jc w:val="both"/>
      </w:pPr>
      <w:r>
        <w:rPr>
          <w:b/>
        </w:rPr>
        <w:t>ARTÍCULO 19.</w:t>
      </w:r>
      <w:r>
        <w:t xml:space="preserve"> Se garantiza la libertad de cultos. Toda persona tiene derecho a profesar libremente su religión y a difundirla en forma individual o colectiva.</w:t>
      </w:r>
    </w:p>
    <w:p w:rsidR="0086247D" w:rsidRDefault="00FD1535">
      <w:pPr>
        <w:spacing w:line="276" w:lineRule="auto"/>
        <w:jc w:val="both"/>
      </w:pPr>
      <w:r>
        <w:t>Todas las confesiones religiosas e iglesias son igualmente libres ante la ley.</w:t>
      </w:r>
    </w:p>
    <w:p w:rsidR="0086247D" w:rsidRDefault="0086247D">
      <w:pPr>
        <w:spacing w:line="276" w:lineRule="auto"/>
        <w:jc w:val="both"/>
      </w:pPr>
    </w:p>
    <w:p w:rsidR="0086247D" w:rsidRDefault="00FD1535">
      <w:pPr>
        <w:spacing w:line="276" w:lineRule="auto"/>
        <w:jc w:val="both"/>
      </w:pPr>
      <w:r>
        <w:rPr>
          <w:b/>
        </w:rPr>
        <w:t xml:space="preserve">ARTÍCULO 93. </w:t>
      </w:r>
      <w:r>
        <w:t>Los tratados y convenios internacionales ratificados por el Congreso, que reconocen los derechos humanos y que prohíben su limitación en los estados de excepción, prevalecen en el orden interno.</w:t>
      </w:r>
    </w:p>
    <w:p w:rsidR="0086247D" w:rsidRDefault="00FD1535">
      <w:pPr>
        <w:spacing w:line="276" w:lineRule="auto"/>
        <w:jc w:val="both"/>
      </w:pPr>
      <w:r>
        <w:t>Los derechos y deberes consagrados en esta Carta, se interpretarán de conformidad con los tratados internacionales sobre derechos humanos ratificados por Colombia.</w:t>
      </w:r>
    </w:p>
    <w:p w:rsidR="0086247D" w:rsidRDefault="0086247D">
      <w:pPr>
        <w:spacing w:line="276" w:lineRule="auto"/>
        <w:jc w:val="both"/>
      </w:pPr>
    </w:p>
    <w:p w:rsidR="0086247D" w:rsidRDefault="00FD1535">
      <w:pPr>
        <w:spacing w:line="276" w:lineRule="auto"/>
        <w:jc w:val="both"/>
        <w:rPr>
          <w:b/>
        </w:rPr>
      </w:pPr>
      <w:r>
        <w:rPr>
          <w:b/>
        </w:rPr>
        <w:t>LEY 1482 DE 2011</w:t>
      </w:r>
    </w:p>
    <w:p w:rsidR="0086247D" w:rsidRDefault="0086247D">
      <w:pPr>
        <w:spacing w:line="276" w:lineRule="auto"/>
        <w:jc w:val="both"/>
        <w:rPr>
          <w:b/>
        </w:rPr>
      </w:pPr>
    </w:p>
    <w:p w:rsidR="0086247D" w:rsidRDefault="00FD1535">
      <w:pPr>
        <w:spacing w:line="276" w:lineRule="auto"/>
        <w:jc w:val="both"/>
      </w:pPr>
      <w:r>
        <w:rPr>
          <w:b/>
        </w:rPr>
        <w:t>Artículo   3°.</w:t>
      </w:r>
      <w:r>
        <w:t xml:space="preserve"> El Código Penal tendrá un artículo 134A del siguiente tenor:</w:t>
      </w:r>
    </w:p>
    <w:p w:rsidR="0086247D" w:rsidRDefault="0086247D">
      <w:pPr>
        <w:spacing w:line="276" w:lineRule="auto"/>
        <w:jc w:val="both"/>
      </w:pPr>
    </w:p>
    <w:p w:rsidR="0086247D" w:rsidRDefault="00FD1535">
      <w:pPr>
        <w:spacing w:line="276" w:lineRule="auto"/>
        <w:jc w:val="both"/>
      </w:pPr>
      <w:r>
        <w:rPr>
          <w:b/>
        </w:rPr>
        <w:t>Artículo 134 A</w:t>
      </w:r>
      <w:r>
        <w:t>. Actos de Racismo o discriminación. El que arbitrariamente impida, obstruya o restrinja el pleno ejercicio de los derechos de las personas por razón de su raza, nacionalidad, sexo u orientación sexual, incurrirá en prisión de doce (12) a treinta y seis (36) meses y multa de diez (10) a quince (15) salarios mínimos legales mensuales vigentes.</w:t>
      </w:r>
      <w:r>
        <w:rPr>
          <w:vertAlign w:val="superscript"/>
        </w:rPr>
        <w:footnoteReference w:id="34"/>
      </w:r>
    </w:p>
    <w:p w:rsidR="0086247D" w:rsidRDefault="0086247D">
      <w:pPr>
        <w:spacing w:line="276" w:lineRule="auto"/>
        <w:jc w:val="both"/>
      </w:pPr>
    </w:p>
    <w:p w:rsidR="0086247D" w:rsidRDefault="00FD1535">
      <w:pPr>
        <w:spacing w:line="276" w:lineRule="auto"/>
        <w:jc w:val="both"/>
      </w:pPr>
      <w:r>
        <w:rPr>
          <w:b/>
        </w:rPr>
        <w:t>Artículo   4</w:t>
      </w:r>
      <w:proofErr w:type="gramStart"/>
      <w:r>
        <w:rPr>
          <w:b/>
        </w:rPr>
        <w:t>°.</w:t>
      </w:r>
      <w:r>
        <w:t>El</w:t>
      </w:r>
      <w:proofErr w:type="gramEnd"/>
      <w:r>
        <w:t xml:space="preserve"> Código Penal tendrá un artículo 134B del siguiente tenor:</w:t>
      </w:r>
    </w:p>
    <w:p w:rsidR="0086247D" w:rsidRDefault="0086247D">
      <w:pPr>
        <w:spacing w:line="276" w:lineRule="auto"/>
        <w:jc w:val="both"/>
      </w:pPr>
    </w:p>
    <w:p w:rsidR="0086247D" w:rsidRDefault="00FD1535">
      <w:pPr>
        <w:spacing w:line="276" w:lineRule="auto"/>
        <w:jc w:val="both"/>
      </w:pPr>
      <w:r>
        <w:rPr>
          <w:b/>
        </w:rPr>
        <w:t xml:space="preserve">Artículo 134 B. </w:t>
      </w:r>
      <w:r>
        <w:t>Hostigamiento por motivos de raza, religión, ideología, política, u origen nacional, étnico o cultural. El que promueva o instigue actos, conductas o comportamientos constitutivos de hostigamiento, orientados a causarle daño físico o moral a una persona, grupo de personas, comunidad o pueblo, por razón de su raza, etnia, religión, nacionalidad, ideología política o filosófica, sexo u orientación sexual, incurrirá en prisión de doce (12) a treinta y seis (36) meses y multa de diez (10) a quince (15) salarios mínimos legales mensuales vigentes, salvo que la conducta constituya delito sancionable con pena mayor.</w:t>
      </w:r>
      <w:r>
        <w:rPr>
          <w:vertAlign w:val="superscript"/>
        </w:rPr>
        <w:footnoteReference w:id="35"/>
      </w:r>
    </w:p>
    <w:p w:rsidR="0086247D" w:rsidRDefault="0086247D">
      <w:pPr>
        <w:spacing w:line="276" w:lineRule="auto"/>
        <w:jc w:val="both"/>
      </w:pPr>
    </w:p>
    <w:p w:rsidR="0086247D" w:rsidRDefault="00FD1535">
      <w:pPr>
        <w:spacing w:line="276" w:lineRule="auto"/>
        <w:jc w:val="both"/>
      </w:pPr>
      <w:proofErr w:type="gramStart"/>
      <w:r>
        <w:rPr>
          <w:b/>
        </w:rPr>
        <w:t>Artículo  7</w:t>
      </w:r>
      <w:proofErr w:type="gramEnd"/>
      <w:r>
        <w:rPr>
          <w:b/>
        </w:rPr>
        <w:t xml:space="preserve">°. </w:t>
      </w:r>
      <w:r>
        <w:t>Modifíquese el artículo 102 del Código Penal.</w:t>
      </w:r>
    </w:p>
    <w:p w:rsidR="0086247D" w:rsidRDefault="0086247D">
      <w:pPr>
        <w:spacing w:line="276" w:lineRule="auto"/>
        <w:jc w:val="both"/>
      </w:pPr>
    </w:p>
    <w:p w:rsidR="0086247D" w:rsidRDefault="00FD1535">
      <w:pPr>
        <w:spacing w:line="276" w:lineRule="auto"/>
        <w:jc w:val="both"/>
      </w:pPr>
      <w:r>
        <w:rPr>
          <w:b/>
        </w:rPr>
        <w:t xml:space="preserve">Artículo 102. </w:t>
      </w:r>
      <w:r>
        <w:t xml:space="preserve">Apología del genocidio. </w:t>
      </w:r>
      <w:r>
        <w:rPr>
          <w:b/>
        </w:rPr>
        <w:t>El que por cualquier medio difunda ideas o doctrinas que propicien, promuevan, el genocidio o el antisemitismo</w:t>
      </w:r>
      <w:r>
        <w:t xml:space="preserve"> o de alguna forma lo justifiquen o pretendan la rehabilitación de regímenes o instituciones que amparen prácticas generadoras de las mismas, incurrirá en prisión de noventa y seis (96) a ciento ochenta (180) meses, multa de seiscientos sesenta y seis punto sesenta y seis (666.66) a mil quinientos (1.500) salarios mínimos legales mensuales vigentes, e inhabilitación para el ejercicio de derechos y funciones públicas de ochenta (80) a ciento ochenta (180) meses.</w:t>
      </w:r>
    </w:p>
    <w:p w:rsidR="0086247D" w:rsidRDefault="0086247D">
      <w:pPr>
        <w:spacing w:line="276" w:lineRule="auto"/>
        <w:jc w:val="both"/>
      </w:pPr>
    </w:p>
    <w:p w:rsidR="0086247D" w:rsidRDefault="00FD1535">
      <w:pPr>
        <w:spacing w:line="276" w:lineRule="auto"/>
        <w:jc w:val="both"/>
        <w:rPr>
          <w:b/>
          <w:color w:val="333333"/>
          <w:highlight w:val="white"/>
        </w:rPr>
      </w:pPr>
      <w:r>
        <w:rPr>
          <w:b/>
          <w:color w:val="333333"/>
          <w:highlight w:val="white"/>
        </w:rPr>
        <w:t>LEY 1801 DE 2016</w:t>
      </w:r>
    </w:p>
    <w:p w:rsidR="0086247D" w:rsidRDefault="0086247D">
      <w:pPr>
        <w:spacing w:line="276" w:lineRule="auto"/>
        <w:jc w:val="both"/>
        <w:rPr>
          <w:b/>
          <w:color w:val="333333"/>
          <w:highlight w:val="white"/>
        </w:rPr>
      </w:pPr>
    </w:p>
    <w:p w:rsidR="0086247D" w:rsidRDefault="00FD1535">
      <w:pPr>
        <w:spacing w:line="276" w:lineRule="auto"/>
        <w:jc w:val="both"/>
        <w:rPr>
          <w:i/>
          <w:color w:val="333333"/>
          <w:highlight w:val="white"/>
        </w:rPr>
      </w:pPr>
      <w:r>
        <w:rPr>
          <w:i/>
          <w:color w:val="333333"/>
          <w:highlight w:val="white"/>
        </w:rPr>
        <w:t>Por la cual se expide el Código Nacional de Seguridad y Convivencia Ciudadana.</w:t>
      </w:r>
    </w:p>
    <w:p w:rsidR="0086247D" w:rsidRDefault="0086247D">
      <w:pPr>
        <w:spacing w:line="276" w:lineRule="auto"/>
        <w:jc w:val="both"/>
        <w:rPr>
          <w:color w:val="333333"/>
          <w:highlight w:val="white"/>
        </w:rPr>
      </w:pPr>
    </w:p>
    <w:p w:rsidR="0086247D" w:rsidRDefault="00FD1535">
      <w:pPr>
        <w:spacing w:line="276" w:lineRule="auto"/>
        <w:jc w:val="both"/>
        <w:rPr>
          <w:highlight w:val="white"/>
        </w:rPr>
      </w:pPr>
      <w:r>
        <w:rPr>
          <w:b/>
          <w:highlight w:val="white"/>
        </w:rPr>
        <w:t xml:space="preserve">ARTÍCULO 7. </w:t>
      </w:r>
      <w:r>
        <w:rPr>
          <w:highlight w:val="white"/>
        </w:rPr>
        <w:t>Finalidades de la convivencia. Son fines esenciales de las normas de convivencia social previstas en este Código:</w:t>
      </w:r>
    </w:p>
    <w:p w:rsidR="0086247D" w:rsidRDefault="00FD1535">
      <w:pPr>
        <w:spacing w:line="276" w:lineRule="auto"/>
        <w:jc w:val="both"/>
        <w:rPr>
          <w:highlight w:val="white"/>
        </w:rPr>
      </w:pPr>
      <w:r>
        <w:rPr>
          <w:highlight w:val="white"/>
        </w:rPr>
        <w:t>1. Que el ejercicio de los derechos y libertades sean garantizados y respetados en el marco de la Constitución y la ley.</w:t>
      </w:r>
    </w:p>
    <w:p w:rsidR="0086247D" w:rsidRDefault="00FD1535">
      <w:pPr>
        <w:spacing w:line="276" w:lineRule="auto"/>
        <w:jc w:val="both"/>
        <w:rPr>
          <w:highlight w:val="white"/>
        </w:rPr>
      </w:pPr>
      <w:r>
        <w:rPr>
          <w:highlight w:val="white"/>
        </w:rPr>
        <w:t>2. El cumplimiento de los deberes contenidos en la Constitución, la ley y las normas que regulan la convivencia.</w:t>
      </w:r>
    </w:p>
    <w:p w:rsidR="0086247D" w:rsidRDefault="00FD1535">
      <w:pPr>
        <w:spacing w:line="276" w:lineRule="auto"/>
        <w:jc w:val="both"/>
        <w:rPr>
          <w:highlight w:val="white"/>
        </w:rPr>
      </w:pPr>
      <w:r>
        <w:rPr>
          <w:highlight w:val="white"/>
        </w:rPr>
        <w:t>3. El respeto por las diferencias y la aceptación de ellas.</w:t>
      </w:r>
    </w:p>
    <w:p w:rsidR="0086247D" w:rsidRDefault="00FD1535">
      <w:pPr>
        <w:spacing w:line="276" w:lineRule="auto"/>
        <w:jc w:val="both"/>
        <w:rPr>
          <w:highlight w:val="white"/>
        </w:rPr>
      </w:pPr>
      <w:r>
        <w:rPr>
          <w:highlight w:val="white"/>
        </w:rPr>
        <w:t>4. La resolución pacífica de los desacuerdos que afecten la convivencia.</w:t>
      </w:r>
    </w:p>
    <w:p w:rsidR="0086247D" w:rsidRDefault="00FD1535">
      <w:pPr>
        <w:spacing w:line="276" w:lineRule="auto"/>
        <w:jc w:val="both"/>
        <w:rPr>
          <w:highlight w:val="white"/>
        </w:rPr>
      </w:pPr>
      <w:r>
        <w:rPr>
          <w:highlight w:val="white"/>
        </w:rPr>
        <w:t>5. La convergencia de los intereses personales y generales para promover un desarrollo armónico.</w:t>
      </w:r>
    </w:p>
    <w:p w:rsidR="0086247D" w:rsidRDefault="00FD1535">
      <w:pPr>
        <w:spacing w:line="276" w:lineRule="auto"/>
        <w:jc w:val="both"/>
        <w:rPr>
          <w:highlight w:val="white"/>
        </w:rPr>
      </w:pPr>
      <w:r>
        <w:rPr>
          <w:highlight w:val="white"/>
        </w:rPr>
        <w:t>6. prevalencia de los valores sociales de solidaridad, tolerancia, responsabilidad, honradez, respeto, bondad, libertad, justicia, igualdad, fraternidad, lealtad, prudencia y paz.</w:t>
      </w:r>
    </w:p>
    <w:p w:rsidR="0086247D" w:rsidRDefault="0086247D">
      <w:pPr>
        <w:spacing w:line="276" w:lineRule="auto"/>
        <w:jc w:val="both"/>
        <w:rPr>
          <w:highlight w:val="white"/>
        </w:rPr>
      </w:pPr>
    </w:p>
    <w:p w:rsidR="0086247D" w:rsidRDefault="00FD1535">
      <w:pPr>
        <w:spacing w:line="276" w:lineRule="auto"/>
        <w:jc w:val="both"/>
        <w:rPr>
          <w:highlight w:val="white"/>
        </w:rPr>
      </w:pPr>
      <w:r>
        <w:rPr>
          <w:b/>
          <w:highlight w:val="white"/>
        </w:rPr>
        <w:t>ARTÍCULO 8.</w:t>
      </w:r>
      <w:r>
        <w:rPr>
          <w:highlight w:val="white"/>
        </w:rPr>
        <w:t xml:space="preserve"> Principios. Son principios fundamentales del Código:</w:t>
      </w:r>
    </w:p>
    <w:p w:rsidR="0086247D" w:rsidRDefault="00FD1535">
      <w:pPr>
        <w:numPr>
          <w:ilvl w:val="0"/>
          <w:numId w:val="2"/>
        </w:numPr>
        <w:spacing w:line="276" w:lineRule="auto"/>
        <w:jc w:val="both"/>
        <w:rPr>
          <w:highlight w:val="white"/>
        </w:rPr>
      </w:pPr>
      <w:r>
        <w:rPr>
          <w:highlight w:val="white"/>
        </w:rPr>
        <w:t>La protección de la vida y el respeto a la dignidad humana.</w:t>
      </w:r>
    </w:p>
    <w:p w:rsidR="0086247D" w:rsidRDefault="00FD1535">
      <w:pPr>
        <w:numPr>
          <w:ilvl w:val="0"/>
          <w:numId w:val="2"/>
        </w:numPr>
        <w:spacing w:line="276" w:lineRule="auto"/>
        <w:jc w:val="both"/>
        <w:rPr>
          <w:highlight w:val="white"/>
        </w:rPr>
      </w:pPr>
      <w:r>
        <w:rPr>
          <w:highlight w:val="white"/>
        </w:rPr>
        <w:t>Protección y respeto a los derechos humanos.</w:t>
      </w:r>
    </w:p>
    <w:p w:rsidR="0086247D" w:rsidRDefault="00FD1535">
      <w:pPr>
        <w:numPr>
          <w:ilvl w:val="0"/>
          <w:numId w:val="2"/>
        </w:numPr>
        <w:spacing w:line="276" w:lineRule="auto"/>
        <w:jc w:val="both"/>
        <w:rPr>
          <w:highlight w:val="white"/>
        </w:rPr>
      </w:pPr>
      <w:r>
        <w:rPr>
          <w:highlight w:val="white"/>
        </w:rPr>
        <w:t>La prevalencia de los derechos de niños, niñas y adolescentes y su protección integral.</w:t>
      </w:r>
    </w:p>
    <w:p w:rsidR="0086247D" w:rsidRDefault="00FD1535">
      <w:pPr>
        <w:numPr>
          <w:ilvl w:val="0"/>
          <w:numId w:val="2"/>
        </w:numPr>
        <w:spacing w:line="276" w:lineRule="auto"/>
        <w:jc w:val="both"/>
        <w:rPr>
          <w:highlight w:val="white"/>
        </w:rPr>
      </w:pPr>
      <w:r>
        <w:rPr>
          <w:highlight w:val="white"/>
        </w:rPr>
        <w:t>La igualdad ante la ley.</w:t>
      </w:r>
    </w:p>
    <w:p w:rsidR="0086247D" w:rsidRDefault="00FD1535">
      <w:pPr>
        <w:numPr>
          <w:ilvl w:val="0"/>
          <w:numId w:val="2"/>
        </w:numPr>
        <w:spacing w:line="276" w:lineRule="auto"/>
        <w:jc w:val="both"/>
        <w:rPr>
          <w:highlight w:val="white"/>
        </w:rPr>
      </w:pPr>
      <w:r>
        <w:rPr>
          <w:highlight w:val="white"/>
        </w:rPr>
        <w:t>La libertad y la autorregulación.</w:t>
      </w:r>
    </w:p>
    <w:p w:rsidR="0086247D" w:rsidRDefault="00FD1535">
      <w:pPr>
        <w:numPr>
          <w:ilvl w:val="0"/>
          <w:numId w:val="2"/>
        </w:numPr>
        <w:spacing w:line="276" w:lineRule="auto"/>
        <w:jc w:val="both"/>
        <w:rPr>
          <w:highlight w:val="white"/>
        </w:rPr>
      </w:pPr>
      <w:r>
        <w:rPr>
          <w:highlight w:val="white"/>
        </w:rPr>
        <w:t>El reconocimiento y respeto de las diferencias culturales, la autonomía e identidad regional, la diversidad y la no discriminación.</w:t>
      </w:r>
    </w:p>
    <w:p w:rsidR="0086247D" w:rsidRDefault="00FD1535">
      <w:pPr>
        <w:numPr>
          <w:ilvl w:val="0"/>
          <w:numId w:val="2"/>
        </w:numPr>
        <w:spacing w:line="276" w:lineRule="auto"/>
        <w:jc w:val="both"/>
        <w:rPr>
          <w:highlight w:val="white"/>
        </w:rPr>
      </w:pPr>
      <w:r>
        <w:rPr>
          <w:highlight w:val="white"/>
        </w:rPr>
        <w:t>El debido proceso.</w:t>
      </w:r>
    </w:p>
    <w:p w:rsidR="0086247D" w:rsidRDefault="00FD1535">
      <w:pPr>
        <w:numPr>
          <w:ilvl w:val="0"/>
          <w:numId w:val="2"/>
        </w:numPr>
        <w:spacing w:line="276" w:lineRule="auto"/>
        <w:jc w:val="both"/>
        <w:rPr>
          <w:highlight w:val="white"/>
        </w:rPr>
      </w:pPr>
      <w:r>
        <w:rPr>
          <w:highlight w:val="white"/>
        </w:rPr>
        <w:t>La protección de la diversidad e integridad del ambiente y el patrimonio ecológico.</w:t>
      </w:r>
    </w:p>
    <w:p w:rsidR="0086247D" w:rsidRDefault="00FD1535">
      <w:pPr>
        <w:numPr>
          <w:ilvl w:val="0"/>
          <w:numId w:val="2"/>
        </w:numPr>
        <w:spacing w:line="276" w:lineRule="auto"/>
        <w:jc w:val="both"/>
        <w:rPr>
          <w:highlight w:val="white"/>
        </w:rPr>
      </w:pPr>
      <w:r>
        <w:rPr>
          <w:highlight w:val="white"/>
        </w:rPr>
        <w:t>Protección y respeto por los animales en su calidad de seres sintientes.</w:t>
      </w:r>
    </w:p>
    <w:p w:rsidR="0086247D" w:rsidRDefault="00FD1535">
      <w:pPr>
        <w:numPr>
          <w:ilvl w:val="0"/>
          <w:numId w:val="2"/>
        </w:numPr>
        <w:spacing w:line="276" w:lineRule="auto"/>
        <w:jc w:val="both"/>
        <w:rPr>
          <w:highlight w:val="white"/>
        </w:rPr>
      </w:pPr>
      <w:r>
        <w:rPr>
          <w:highlight w:val="white"/>
        </w:rPr>
        <w:t>La solidaridad.</w:t>
      </w:r>
    </w:p>
    <w:p w:rsidR="0086247D" w:rsidRDefault="00FD1535">
      <w:pPr>
        <w:numPr>
          <w:ilvl w:val="0"/>
          <w:numId w:val="2"/>
        </w:numPr>
        <w:spacing w:line="276" w:lineRule="auto"/>
        <w:jc w:val="both"/>
        <w:rPr>
          <w:highlight w:val="white"/>
        </w:rPr>
      </w:pPr>
      <w:r>
        <w:rPr>
          <w:highlight w:val="white"/>
        </w:rPr>
        <w:t>La solución pacífica de las controversias y desacuerdos de los conflictos.</w:t>
      </w:r>
    </w:p>
    <w:p w:rsidR="0086247D" w:rsidRDefault="00FD1535">
      <w:pPr>
        <w:numPr>
          <w:ilvl w:val="0"/>
          <w:numId w:val="2"/>
        </w:numPr>
        <w:spacing w:line="276" w:lineRule="auto"/>
        <w:jc w:val="both"/>
        <w:rPr>
          <w:highlight w:val="white"/>
        </w:rPr>
      </w:pPr>
      <w:r>
        <w:rPr>
          <w:highlight w:val="white"/>
        </w:rPr>
        <w:t>El respeto al ordenamiento jurídico y a las autoridades legalmente constituidas</w:t>
      </w:r>
    </w:p>
    <w:p w:rsidR="0086247D" w:rsidRDefault="00FD1535">
      <w:pPr>
        <w:numPr>
          <w:ilvl w:val="0"/>
          <w:numId w:val="2"/>
        </w:numPr>
        <w:spacing w:line="276" w:lineRule="auto"/>
        <w:jc w:val="both"/>
        <w:rPr>
          <w:highlight w:val="white"/>
        </w:rPr>
      </w:pPr>
      <w:r>
        <w:rPr>
          <w:highlight w:val="white"/>
        </w:rPr>
        <w:t>Proporcionalidad y razonabilidad. La adopción de medios de Policía y medidas correctivas debe ser proporcional y razonable atendiendo las circunstancias de cada caso y la finalidad de la norma. Por lo tanto, se debe procurar que la afectación de derechos y libertades no sea superior al beneficio perseguido y evitar todo exceso innecesario.</w:t>
      </w:r>
    </w:p>
    <w:p w:rsidR="0086247D" w:rsidRDefault="00FD1535">
      <w:pPr>
        <w:numPr>
          <w:ilvl w:val="0"/>
          <w:numId w:val="2"/>
        </w:numPr>
        <w:spacing w:line="276" w:lineRule="auto"/>
        <w:jc w:val="both"/>
        <w:rPr>
          <w:highlight w:val="white"/>
        </w:rPr>
      </w:pPr>
      <w:r>
        <w:rPr>
          <w:highlight w:val="white"/>
        </w:rPr>
        <w:t>Necesidad. Las autoridades de Policía sólo podrán adoptar los medios y medidas rigurosamente necesarias e idóneas para la preservación y restablecimiento del orden público cuando la aplicación de otros mecanismos de protección, restauración, educación o de prevención resulte ineficaz para alcanzar el fin propuesto.</w:t>
      </w:r>
    </w:p>
    <w:p w:rsidR="0086247D" w:rsidRDefault="0086247D">
      <w:pPr>
        <w:pBdr>
          <w:top w:val="nil"/>
          <w:left w:val="nil"/>
          <w:bottom w:val="nil"/>
          <w:right w:val="nil"/>
          <w:between w:val="nil"/>
        </w:pBdr>
        <w:jc w:val="both"/>
      </w:pPr>
    </w:p>
    <w:p w:rsidR="0086247D" w:rsidRDefault="0086247D">
      <w:pPr>
        <w:pBdr>
          <w:top w:val="nil"/>
          <w:left w:val="nil"/>
          <w:bottom w:val="nil"/>
          <w:right w:val="nil"/>
          <w:between w:val="nil"/>
        </w:pBdr>
        <w:jc w:val="both"/>
      </w:pPr>
    </w:p>
    <w:p w:rsidR="0086247D" w:rsidRDefault="00FD1535">
      <w:pPr>
        <w:pBdr>
          <w:top w:val="nil"/>
          <w:left w:val="nil"/>
          <w:bottom w:val="nil"/>
          <w:right w:val="nil"/>
          <w:between w:val="nil"/>
        </w:pBdr>
        <w:jc w:val="both"/>
        <w:rPr>
          <w:b/>
        </w:rPr>
      </w:pPr>
      <w:r>
        <w:rPr>
          <w:b/>
        </w:rPr>
        <w:t>ACUERDO DISTRITAL 716 DE 2018</w:t>
      </w:r>
    </w:p>
    <w:p w:rsidR="0086247D" w:rsidRDefault="0086247D">
      <w:pPr>
        <w:pBdr>
          <w:top w:val="nil"/>
          <w:left w:val="nil"/>
          <w:bottom w:val="nil"/>
          <w:right w:val="nil"/>
          <w:between w:val="nil"/>
        </w:pBdr>
        <w:jc w:val="both"/>
      </w:pPr>
    </w:p>
    <w:p w:rsidR="0086247D" w:rsidRDefault="00FD1535">
      <w:pPr>
        <w:pBdr>
          <w:top w:val="nil"/>
          <w:left w:val="nil"/>
          <w:bottom w:val="nil"/>
          <w:right w:val="nil"/>
          <w:between w:val="nil"/>
        </w:pBdr>
        <w:jc w:val="both"/>
      </w:pPr>
      <w:r>
        <w:t xml:space="preserve">Por medio del cual se promueve a Bogotá D.C., como ciudad libre de discriminación y se dictan otras disposiciones. </w:t>
      </w:r>
    </w:p>
    <w:p w:rsidR="0086247D" w:rsidRDefault="0086247D">
      <w:pPr>
        <w:pBdr>
          <w:top w:val="nil"/>
          <w:left w:val="nil"/>
          <w:bottom w:val="nil"/>
          <w:right w:val="nil"/>
          <w:between w:val="nil"/>
        </w:pBdr>
        <w:jc w:val="both"/>
      </w:pPr>
    </w:p>
    <w:p w:rsidR="0086247D" w:rsidRDefault="00FD1535">
      <w:pPr>
        <w:pBdr>
          <w:top w:val="nil"/>
          <w:left w:val="nil"/>
          <w:bottom w:val="nil"/>
          <w:right w:val="nil"/>
          <w:between w:val="nil"/>
        </w:pBdr>
        <w:jc w:val="both"/>
      </w:pPr>
      <w:r>
        <w:rPr>
          <w:b/>
        </w:rPr>
        <w:t xml:space="preserve">ARTÍCULO 1. </w:t>
      </w:r>
      <w:r>
        <w:t>Objeto: Promover a Bogotá, D.C., como ciudad libre de discriminación, impulsando acciones de respeto y promoción por la igualdad entre todas las personas.</w:t>
      </w:r>
    </w:p>
    <w:p w:rsidR="0086247D" w:rsidRDefault="0086247D">
      <w:pPr>
        <w:pBdr>
          <w:top w:val="nil"/>
          <w:left w:val="nil"/>
          <w:bottom w:val="nil"/>
          <w:right w:val="nil"/>
          <w:between w:val="nil"/>
        </w:pBdr>
        <w:jc w:val="both"/>
      </w:pPr>
    </w:p>
    <w:p w:rsidR="0086247D" w:rsidRDefault="00FD1535">
      <w:pPr>
        <w:pBdr>
          <w:top w:val="nil"/>
          <w:left w:val="nil"/>
          <w:bottom w:val="nil"/>
          <w:right w:val="nil"/>
          <w:between w:val="nil"/>
        </w:pBdr>
        <w:jc w:val="both"/>
      </w:pPr>
      <w:r>
        <w:rPr>
          <w:b/>
        </w:rPr>
        <w:t xml:space="preserve">ARTÍCULO 2. </w:t>
      </w:r>
      <w:r>
        <w:t>Definición de Acto Discriminatorio: Acto de discriminación es toda conducta, actitud o trato que pretende consciente o inconscientemente anular, dominar o ignorar a una persona o grupo de personas, con frecuencia apelando a preconcepciones o prejuicios sociales o personales, y que trae como resultado la violación de sus derechos fundamentales.</w:t>
      </w:r>
    </w:p>
    <w:p w:rsidR="0086247D" w:rsidRDefault="0086247D">
      <w:pPr>
        <w:pBdr>
          <w:top w:val="nil"/>
          <w:left w:val="nil"/>
          <w:bottom w:val="nil"/>
          <w:right w:val="nil"/>
          <w:between w:val="nil"/>
        </w:pBdr>
        <w:jc w:val="both"/>
      </w:pPr>
    </w:p>
    <w:p w:rsidR="0086247D" w:rsidRDefault="00FD1535">
      <w:pPr>
        <w:pBdr>
          <w:top w:val="nil"/>
          <w:left w:val="nil"/>
          <w:bottom w:val="nil"/>
          <w:right w:val="nil"/>
          <w:between w:val="nil"/>
        </w:pBdr>
        <w:jc w:val="both"/>
      </w:pPr>
      <w:r>
        <w:rPr>
          <w:b/>
        </w:rPr>
        <w:t>ARTÍCULO 3.</w:t>
      </w:r>
      <w:r>
        <w:t xml:space="preserve"> Igualdad de Derechos: La Administración Distrital en el marco de sus competencias promoverá la igualdad de derechos entre todas las personas y definirá las acciones necesarias para atenderlas, visibilizar y documentar la discriminación.</w:t>
      </w:r>
    </w:p>
    <w:p w:rsidR="0086247D" w:rsidRDefault="0086247D">
      <w:pPr>
        <w:pBdr>
          <w:top w:val="nil"/>
          <w:left w:val="nil"/>
          <w:bottom w:val="nil"/>
          <w:right w:val="nil"/>
          <w:between w:val="nil"/>
        </w:pBdr>
        <w:jc w:val="both"/>
      </w:pPr>
    </w:p>
    <w:p w:rsidR="0086247D" w:rsidRDefault="00FD1535">
      <w:pPr>
        <w:pBdr>
          <w:top w:val="nil"/>
          <w:left w:val="nil"/>
          <w:bottom w:val="nil"/>
          <w:right w:val="nil"/>
          <w:between w:val="nil"/>
        </w:pBdr>
        <w:jc w:val="both"/>
      </w:pPr>
      <w:r>
        <w:rPr>
          <w:b/>
        </w:rPr>
        <w:t>ARTÍCULO 4.</w:t>
      </w:r>
      <w:r>
        <w:t xml:space="preserve"> Socialización: La Administración Distrital generará los mecanismos efectivos de socialización para dar a conocer las medidas correctivas y las multas por las conductas discriminatorias contenidas en Ley 1801 de 2016 - Código Nacional de Policía y Convivencia Ciudadana; así mismo difundirá el contenido de la Ley 1482 de 2011 modificada por la Ley 1752 de 2015, o aquella que la sustituya o modifique. </w:t>
      </w:r>
    </w:p>
    <w:p w:rsidR="0086247D" w:rsidRDefault="0086247D">
      <w:pPr>
        <w:pBdr>
          <w:top w:val="nil"/>
          <w:left w:val="nil"/>
          <w:bottom w:val="nil"/>
          <w:right w:val="nil"/>
          <w:between w:val="nil"/>
        </w:pBdr>
        <w:jc w:val="both"/>
      </w:pPr>
    </w:p>
    <w:p w:rsidR="0086247D" w:rsidRDefault="00FD1535">
      <w:pPr>
        <w:pBdr>
          <w:top w:val="nil"/>
          <w:left w:val="nil"/>
          <w:bottom w:val="nil"/>
          <w:right w:val="nil"/>
          <w:between w:val="nil"/>
        </w:pBdr>
        <w:jc w:val="both"/>
      </w:pPr>
      <w:r>
        <w:rPr>
          <w:b/>
        </w:rPr>
        <w:t>ARTÍCULO 5.</w:t>
      </w:r>
      <w:r>
        <w:t xml:space="preserve"> Estrategia de Comunicación: La Administración Distrital diseñará una estrategia de comunicación efectiva que promueva cambios culturales para la erradicación de todo tipo de discriminación.</w:t>
      </w:r>
    </w:p>
    <w:p w:rsidR="0086247D" w:rsidRDefault="0086247D">
      <w:pPr>
        <w:pBdr>
          <w:top w:val="nil"/>
          <w:left w:val="nil"/>
          <w:bottom w:val="nil"/>
          <w:right w:val="nil"/>
          <w:between w:val="nil"/>
        </w:pBdr>
        <w:jc w:val="both"/>
      </w:pPr>
    </w:p>
    <w:p w:rsidR="0086247D" w:rsidRDefault="0086247D">
      <w:pPr>
        <w:pBdr>
          <w:top w:val="nil"/>
          <w:left w:val="nil"/>
          <w:bottom w:val="nil"/>
          <w:right w:val="nil"/>
          <w:between w:val="nil"/>
        </w:pBdr>
        <w:jc w:val="both"/>
      </w:pPr>
    </w:p>
    <w:p w:rsidR="0086247D" w:rsidRDefault="00FD1535">
      <w:pPr>
        <w:pBdr>
          <w:top w:val="nil"/>
          <w:left w:val="nil"/>
          <w:bottom w:val="nil"/>
          <w:right w:val="nil"/>
          <w:between w:val="nil"/>
        </w:pBdr>
        <w:jc w:val="center"/>
        <w:rPr>
          <w:b/>
        </w:rPr>
      </w:pPr>
      <w:r>
        <w:rPr>
          <w:b/>
        </w:rPr>
        <w:t>COMPETENCIA DEL CONCEJO</w:t>
      </w:r>
    </w:p>
    <w:p w:rsidR="0086247D" w:rsidRDefault="0086247D">
      <w:pPr>
        <w:pBdr>
          <w:top w:val="nil"/>
          <w:left w:val="nil"/>
          <w:bottom w:val="nil"/>
          <w:right w:val="nil"/>
          <w:between w:val="nil"/>
        </w:pBdr>
        <w:jc w:val="center"/>
        <w:rPr>
          <w:b/>
        </w:rPr>
      </w:pPr>
    </w:p>
    <w:p w:rsidR="0086247D" w:rsidRDefault="0086247D">
      <w:pPr>
        <w:pBdr>
          <w:top w:val="nil"/>
          <w:left w:val="nil"/>
          <w:bottom w:val="nil"/>
          <w:right w:val="nil"/>
          <w:between w:val="nil"/>
        </w:pBdr>
        <w:jc w:val="center"/>
        <w:rPr>
          <w:b/>
        </w:rPr>
      </w:pPr>
    </w:p>
    <w:p w:rsidR="0086247D" w:rsidRDefault="00FD1535">
      <w:pPr>
        <w:pBdr>
          <w:top w:val="nil"/>
          <w:left w:val="nil"/>
          <w:bottom w:val="nil"/>
          <w:right w:val="nil"/>
          <w:between w:val="nil"/>
        </w:pBdr>
        <w:jc w:val="both"/>
        <w:rPr>
          <w:b/>
        </w:rPr>
      </w:pPr>
      <w:r>
        <w:rPr>
          <w:b/>
        </w:rPr>
        <w:t>DECRETO 1421 DE 1993</w:t>
      </w:r>
    </w:p>
    <w:p w:rsidR="0086247D" w:rsidRDefault="0086247D">
      <w:pPr>
        <w:pBdr>
          <w:top w:val="nil"/>
          <w:left w:val="nil"/>
          <w:bottom w:val="nil"/>
          <w:right w:val="nil"/>
          <w:between w:val="nil"/>
        </w:pBdr>
        <w:jc w:val="both"/>
        <w:rPr>
          <w:b/>
        </w:rPr>
      </w:pPr>
    </w:p>
    <w:p w:rsidR="0086247D" w:rsidRDefault="0086247D">
      <w:pPr>
        <w:pBdr>
          <w:top w:val="nil"/>
          <w:left w:val="nil"/>
          <w:bottom w:val="nil"/>
          <w:right w:val="nil"/>
          <w:between w:val="nil"/>
        </w:pBdr>
        <w:jc w:val="both"/>
        <w:rPr>
          <w:b/>
        </w:rPr>
      </w:pPr>
    </w:p>
    <w:p w:rsidR="0086247D" w:rsidRDefault="00FD1535">
      <w:pPr>
        <w:pBdr>
          <w:top w:val="nil"/>
          <w:left w:val="nil"/>
          <w:bottom w:val="nil"/>
          <w:right w:val="nil"/>
          <w:between w:val="nil"/>
        </w:pBdr>
        <w:jc w:val="both"/>
      </w:pPr>
      <w:r>
        <w:rPr>
          <w:b/>
        </w:rPr>
        <w:t>ARTÍCULO  12.</w:t>
      </w:r>
      <w:r>
        <w:t xml:space="preserve"> Atribuciones. Corresponde al Concejo Distrital, de conformidad con la Constitución y a la ley:</w:t>
      </w:r>
    </w:p>
    <w:p w:rsidR="0086247D" w:rsidRDefault="0086247D">
      <w:pPr>
        <w:pBdr>
          <w:top w:val="nil"/>
          <w:left w:val="nil"/>
          <w:bottom w:val="nil"/>
          <w:right w:val="nil"/>
          <w:between w:val="nil"/>
        </w:pBdr>
        <w:jc w:val="both"/>
      </w:pPr>
    </w:p>
    <w:p w:rsidR="0086247D" w:rsidRDefault="0086247D">
      <w:pPr>
        <w:pBdr>
          <w:top w:val="nil"/>
          <w:left w:val="nil"/>
          <w:bottom w:val="nil"/>
          <w:right w:val="nil"/>
          <w:between w:val="nil"/>
        </w:pBdr>
        <w:jc w:val="both"/>
      </w:pPr>
    </w:p>
    <w:p w:rsidR="0086247D" w:rsidRDefault="00FD1535">
      <w:pPr>
        <w:pBdr>
          <w:top w:val="nil"/>
          <w:left w:val="nil"/>
          <w:bottom w:val="nil"/>
          <w:right w:val="nil"/>
          <w:between w:val="nil"/>
        </w:pBdr>
        <w:jc w:val="both"/>
      </w:pPr>
      <w:r>
        <w:t>1. Dictar las normas necesarias para garantizar el adecuado cumplimiento de las funciones y la eficiente prestación de los servicios a cargo del Distrito.</w:t>
      </w:r>
    </w:p>
    <w:p w:rsidR="0086247D" w:rsidRDefault="0086247D">
      <w:pPr>
        <w:pBdr>
          <w:top w:val="nil"/>
          <w:left w:val="nil"/>
          <w:bottom w:val="nil"/>
          <w:right w:val="nil"/>
          <w:between w:val="nil"/>
        </w:pBdr>
        <w:jc w:val="both"/>
      </w:pPr>
    </w:p>
    <w:p w:rsidR="0086247D" w:rsidRDefault="0086247D">
      <w:pPr>
        <w:pBdr>
          <w:top w:val="nil"/>
          <w:left w:val="nil"/>
          <w:bottom w:val="nil"/>
          <w:right w:val="nil"/>
          <w:between w:val="nil"/>
        </w:pBdr>
        <w:jc w:val="both"/>
      </w:pPr>
    </w:p>
    <w:p w:rsidR="0086247D" w:rsidRDefault="00FD1535">
      <w:pPr>
        <w:jc w:val="both"/>
      </w:pPr>
      <w:r>
        <w:rPr>
          <w:b/>
        </w:rPr>
        <w:t>ARTÍCULO  13.</w:t>
      </w:r>
      <w:r>
        <w:t xml:space="preserve"> Iniciativa. Los proyectos de acuerdo pueden ser presentados por los concejales y el alcalde mayor por conducto de sus secretarios, jefes de departamento administrativo o representantes legales de las entidades descentralizadas. El personero, el contralor y las juntas administradoras los pueden presentar en materias relacionadas con sus atribuciones. De conformidad con la respectiva ley estatutaria, los ciudadanos y las organizaciones sociales podrán presentar proyectos de acuerdo sobre temas de interés comunitario.</w:t>
      </w:r>
    </w:p>
    <w:p w:rsidR="0086247D" w:rsidRDefault="0086247D">
      <w:pPr>
        <w:jc w:val="both"/>
      </w:pPr>
    </w:p>
    <w:p w:rsidR="0086247D" w:rsidRDefault="0086247D">
      <w:pPr>
        <w:jc w:val="both"/>
      </w:pPr>
    </w:p>
    <w:p w:rsidR="0086247D" w:rsidRDefault="00FD1535">
      <w:pPr>
        <w:numPr>
          <w:ilvl w:val="0"/>
          <w:numId w:val="4"/>
        </w:numPr>
        <w:pBdr>
          <w:top w:val="nil"/>
          <w:left w:val="nil"/>
          <w:bottom w:val="nil"/>
          <w:right w:val="nil"/>
          <w:between w:val="nil"/>
        </w:pBdr>
        <w:jc w:val="both"/>
        <w:rPr>
          <w:b/>
        </w:rPr>
      </w:pPr>
      <w:r>
        <w:rPr>
          <w:b/>
        </w:rPr>
        <w:t xml:space="preserve">IMPACTO FISCAL </w:t>
      </w:r>
    </w:p>
    <w:p w:rsidR="0086247D" w:rsidRDefault="0086247D">
      <w:pPr>
        <w:pBdr>
          <w:top w:val="nil"/>
          <w:left w:val="nil"/>
          <w:bottom w:val="nil"/>
          <w:right w:val="nil"/>
          <w:between w:val="nil"/>
        </w:pBdr>
        <w:jc w:val="both"/>
      </w:pPr>
    </w:p>
    <w:p w:rsidR="0086247D" w:rsidRDefault="0086247D">
      <w:pPr>
        <w:pBdr>
          <w:top w:val="nil"/>
          <w:left w:val="nil"/>
          <w:bottom w:val="nil"/>
          <w:right w:val="nil"/>
          <w:between w:val="nil"/>
        </w:pBdr>
        <w:jc w:val="both"/>
      </w:pPr>
    </w:p>
    <w:p w:rsidR="0086247D" w:rsidRDefault="00FD1535">
      <w:pPr>
        <w:pBdr>
          <w:top w:val="nil"/>
          <w:left w:val="nil"/>
          <w:bottom w:val="nil"/>
          <w:right w:val="nil"/>
          <w:between w:val="nil"/>
        </w:pBdr>
        <w:jc w:val="both"/>
      </w:pPr>
      <w:r>
        <w:t xml:space="preserve">De conformidad con lo establecido en el artículo 7º de la ley 819 de 2003, la implementación de la presente </w:t>
      </w:r>
      <w:proofErr w:type="gramStart"/>
      <w:r>
        <w:t>iniciativa  no</w:t>
      </w:r>
      <w:proofErr w:type="gramEnd"/>
      <w:r>
        <w:t xml:space="preserve"> genera  impacto fiscal que afecte las finanzas del distrito en el mediano plazo, por lo que no genera erogaciones presupuestales adicionales a las ya establecidas. Esto, teniendo en cuenta que en la actualidad ya existen </w:t>
      </w:r>
    </w:p>
    <w:p w:rsidR="0086247D" w:rsidRDefault="0086247D">
      <w:pPr>
        <w:pBdr>
          <w:top w:val="nil"/>
          <w:left w:val="nil"/>
          <w:bottom w:val="nil"/>
          <w:right w:val="nil"/>
          <w:between w:val="nil"/>
        </w:pBdr>
        <w:jc w:val="both"/>
      </w:pPr>
    </w:p>
    <w:p w:rsidR="0086247D" w:rsidRDefault="00FD1535">
      <w:pPr>
        <w:pBdr>
          <w:top w:val="nil"/>
          <w:left w:val="nil"/>
          <w:bottom w:val="nil"/>
          <w:right w:val="nil"/>
          <w:between w:val="nil"/>
        </w:pBdr>
        <w:jc w:val="both"/>
      </w:pPr>
      <w:r>
        <w:br/>
        <w:t xml:space="preserve">Cordialmente, </w:t>
      </w:r>
    </w:p>
    <w:p w:rsidR="0086247D" w:rsidRDefault="0086247D">
      <w:pPr>
        <w:pBdr>
          <w:top w:val="nil"/>
          <w:left w:val="nil"/>
          <w:bottom w:val="nil"/>
          <w:right w:val="nil"/>
          <w:between w:val="nil"/>
        </w:pBdr>
        <w:jc w:val="both"/>
      </w:pPr>
    </w:p>
    <w:p w:rsidR="0086247D" w:rsidRDefault="0086247D">
      <w:pPr>
        <w:pBdr>
          <w:top w:val="nil"/>
          <w:left w:val="nil"/>
          <w:bottom w:val="nil"/>
          <w:right w:val="nil"/>
          <w:between w:val="nil"/>
        </w:pBdr>
        <w:jc w:val="both"/>
      </w:pPr>
    </w:p>
    <w:p w:rsidR="0086247D" w:rsidRDefault="0086247D">
      <w:pPr>
        <w:pBdr>
          <w:top w:val="nil"/>
          <w:left w:val="nil"/>
          <w:bottom w:val="nil"/>
          <w:right w:val="nil"/>
          <w:between w:val="nil"/>
        </w:pBdr>
        <w:jc w:val="both"/>
      </w:pPr>
    </w:p>
    <w:p w:rsidR="0086247D" w:rsidRDefault="0086247D">
      <w:pPr>
        <w:pBdr>
          <w:top w:val="nil"/>
          <w:left w:val="nil"/>
          <w:bottom w:val="nil"/>
          <w:right w:val="nil"/>
          <w:between w:val="nil"/>
        </w:pBdr>
        <w:jc w:val="both"/>
      </w:pPr>
    </w:p>
    <w:p w:rsidR="0086247D" w:rsidRDefault="00FD1535">
      <w:pPr>
        <w:pBdr>
          <w:top w:val="nil"/>
          <w:left w:val="nil"/>
          <w:bottom w:val="nil"/>
          <w:right w:val="nil"/>
          <w:between w:val="nil"/>
        </w:pBdr>
        <w:jc w:val="both"/>
        <w:rPr>
          <w:b/>
        </w:rPr>
      </w:pPr>
      <w:r>
        <w:rPr>
          <w:b/>
        </w:rPr>
        <w:t xml:space="preserve">ANDRÉS BARRIOS BERNAL </w:t>
      </w:r>
      <w:r>
        <w:rPr>
          <w:b/>
        </w:rPr>
        <w:tab/>
      </w:r>
      <w:r>
        <w:rPr>
          <w:b/>
        </w:rPr>
        <w:tab/>
        <w:t xml:space="preserve">      DANIEL FELIPE BRICEÑO MONTES</w:t>
      </w:r>
    </w:p>
    <w:p w:rsidR="0086247D" w:rsidRDefault="00FD1535">
      <w:pPr>
        <w:pBdr>
          <w:top w:val="nil"/>
          <w:left w:val="nil"/>
          <w:bottom w:val="nil"/>
          <w:right w:val="nil"/>
          <w:between w:val="nil"/>
        </w:pBdr>
        <w:jc w:val="both"/>
      </w:pPr>
      <w:r>
        <w:t>Concejal de Bogotá                                       Concejal de Bogotá</w:t>
      </w:r>
    </w:p>
    <w:p w:rsidR="0086247D" w:rsidRDefault="0086247D"/>
    <w:p w:rsidR="0086247D" w:rsidRDefault="0086247D">
      <w:pPr>
        <w:jc w:val="center"/>
      </w:pPr>
    </w:p>
    <w:p w:rsidR="0086247D" w:rsidRDefault="0086247D">
      <w:pPr>
        <w:jc w:val="center"/>
      </w:pPr>
    </w:p>
    <w:p w:rsidR="0086247D" w:rsidRDefault="0086247D">
      <w:pPr>
        <w:jc w:val="center"/>
      </w:pPr>
    </w:p>
    <w:p w:rsidR="0086247D" w:rsidRDefault="0086247D">
      <w:pPr>
        <w:jc w:val="center"/>
      </w:pPr>
    </w:p>
    <w:p w:rsidR="0086247D" w:rsidRDefault="0086247D">
      <w:pPr>
        <w:jc w:val="center"/>
      </w:pPr>
    </w:p>
    <w:p w:rsidR="0086247D" w:rsidRDefault="0086247D">
      <w:pPr>
        <w:jc w:val="center"/>
      </w:pPr>
    </w:p>
    <w:p w:rsidR="0086247D" w:rsidRDefault="0086247D">
      <w:pPr>
        <w:jc w:val="center"/>
      </w:pPr>
    </w:p>
    <w:p w:rsidR="0086247D" w:rsidRDefault="0086247D">
      <w:pPr>
        <w:jc w:val="center"/>
      </w:pPr>
    </w:p>
    <w:p w:rsidR="0086247D" w:rsidRDefault="0086247D">
      <w:pPr>
        <w:jc w:val="center"/>
      </w:pPr>
    </w:p>
    <w:p w:rsidR="0086247D" w:rsidRDefault="0086247D">
      <w:pPr>
        <w:jc w:val="center"/>
      </w:pPr>
    </w:p>
    <w:p w:rsidR="0086247D" w:rsidRDefault="0086247D">
      <w:pPr>
        <w:jc w:val="center"/>
      </w:pPr>
    </w:p>
    <w:p w:rsidR="0086247D" w:rsidRDefault="0086247D"/>
    <w:p w:rsidR="0086247D" w:rsidRDefault="0086247D">
      <w:pPr>
        <w:jc w:val="center"/>
      </w:pPr>
    </w:p>
    <w:p w:rsidR="0086247D" w:rsidRDefault="0086247D">
      <w:pPr>
        <w:jc w:val="center"/>
      </w:pPr>
    </w:p>
    <w:p w:rsidR="0086247D" w:rsidRDefault="0086247D">
      <w:pPr>
        <w:jc w:val="center"/>
      </w:pPr>
    </w:p>
    <w:p w:rsidR="0086247D" w:rsidRDefault="0086247D">
      <w:pPr>
        <w:jc w:val="center"/>
      </w:pPr>
    </w:p>
    <w:p w:rsidR="0086247D" w:rsidRDefault="0086247D">
      <w:pPr>
        <w:jc w:val="center"/>
      </w:pPr>
    </w:p>
    <w:p w:rsidR="0086247D" w:rsidRDefault="00FD1535">
      <w:pPr>
        <w:jc w:val="center"/>
      </w:pPr>
      <w:r>
        <w:t>PROYECTO DE ACUERDO No. __________ DE  2025</w:t>
      </w:r>
    </w:p>
    <w:p w:rsidR="0086247D" w:rsidRDefault="0086247D"/>
    <w:p w:rsidR="0086247D" w:rsidRDefault="0086247D">
      <w:pPr>
        <w:jc w:val="both"/>
      </w:pPr>
    </w:p>
    <w:p w:rsidR="0086247D" w:rsidRDefault="0086247D">
      <w:pPr>
        <w:jc w:val="center"/>
        <w:rPr>
          <w:b/>
        </w:rPr>
      </w:pPr>
    </w:p>
    <w:p w:rsidR="0086247D" w:rsidRDefault="00FD1535">
      <w:pPr>
        <w:jc w:val="center"/>
        <w:rPr>
          <w:b/>
        </w:rPr>
      </w:pPr>
      <w:bookmarkStart w:id="2" w:name="_heading=h.3tptdxpce5cn" w:colFirst="0" w:colLast="0"/>
      <w:bookmarkEnd w:id="2"/>
      <w:r>
        <w:rPr>
          <w:b/>
        </w:rPr>
        <w:t>“POR MEDIO DEL CUAL SE FOMENTA LA LUCHA CONTRA EL ANTISEMITISMO Y LA DISCRIMINACIÓN EN TODAS SUS FORMAS A PERSONAS PARTE DE LA COMUNIDAD JUDÍA EN BOGOTÁ”</w:t>
      </w:r>
    </w:p>
    <w:p w:rsidR="0086247D" w:rsidRDefault="0086247D">
      <w:pPr>
        <w:jc w:val="both"/>
      </w:pPr>
      <w:bookmarkStart w:id="3" w:name="_heading=h.43tpdbka89y1" w:colFirst="0" w:colLast="0"/>
      <w:bookmarkEnd w:id="3"/>
    </w:p>
    <w:p w:rsidR="0086247D" w:rsidRDefault="00FD1535">
      <w:pPr>
        <w:tabs>
          <w:tab w:val="left" w:pos="1560"/>
        </w:tabs>
        <w:spacing w:after="240" w:line="360" w:lineRule="auto"/>
        <w:jc w:val="center"/>
        <w:rPr>
          <w:b/>
        </w:rPr>
      </w:pPr>
      <w:r>
        <w:t xml:space="preserve">El Concejo de Bogotá en uso de sus atribuciones Constitucionales y Legales, especialmente las contenidas en el numeral </w:t>
      </w:r>
      <w:proofErr w:type="gramStart"/>
      <w:r>
        <w:t>1  del</w:t>
      </w:r>
      <w:proofErr w:type="gramEnd"/>
      <w:r>
        <w:t xml:space="preserve"> artículo 12 del Decreto Ley 1421 de 1993 y en concordancia con los artículos 25 y 313 de la Constitución Política de Colombia,</w:t>
      </w:r>
    </w:p>
    <w:p w:rsidR="0086247D" w:rsidRDefault="00FD1535">
      <w:pPr>
        <w:tabs>
          <w:tab w:val="left" w:pos="1560"/>
        </w:tabs>
        <w:spacing w:after="240" w:line="360" w:lineRule="auto"/>
        <w:jc w:val="center"/>
        <w:rPr>
          <w:b/>
        </w:rPr>
      </w:pPr>
      <w:r>
        <w:rPr>
          <w:b/>
        </w:rPr>
        <w:t>ACUERDA:</w:t>
      </w:r>
    </w:p>
    <w:p w:rsidR="0086247D" w:rsidRDefault="00FD1535">
      <w:pPr>
        <w:tabs>
          <w:tab w:val="left" w:pos="1560"/>
        </w:tabs>
        <w:spacing w:after="240" w:line="360" w:lineRule="auto"/>
        <w:jc w:val="both"/>
      </w:pPr>
      <w:r>
        <w:rPr>
          <w:b/>
        </w:rPr>
        <w:t xml:space="preserve">ARTÍCULO 1. OBJETO. </w:t>
      </w:r>
      <w:r>
        <w:t xml:space="preserve">Fomentar la lucha contra el antisemitismo y discriminación en todas sus formas a personas parte de la comunidad judía en la ciudad de Bogotá. </w:t>
      </w:r>
    </w:p>
    <w:p w:rsidR="0086247D" w:rsidRDefault="00FD1535">
      <w:pPr>
        <w:tabs>
          <w:tab w:val="left" w:pos="1560"/>
        </w:tabs>
        <w:spacing w:after="240" w:line="360" w:lineRule="auto"/>
        <w:jc w:val="both"/>
      </w:pPr>
      <w:r>
        <w:rPr>
          <w:b/>
        </w:rPr>
        <w:t>ARTÍCULO 2. PRINCIPIOS.</w:t>
      </w:r>
      <w:r>
        <w:t xml:space="preserve"> El presente Acuerdo busca implementar los principios de reconocimiento y garantía de igualdad de derechos para todos los ciudadanos, el compromiso con la erradicación de la discriminación en todas sus formas, el apoyo a la diversidad cultural y religiosa y la defensa activa contra cualquier manifestación de antisemitismo.</w:t>
      </w:r>
    </w:p>
    <w:p w:rsidR="0086247D" w:rsidRDefault="00FD1535">
      <w:pPr>
        <w:tabs>
          <w:tab w:val="left" w:pos="1560"/>
        </w:tabs>
        <w:spacing w:after="240" w:line="360" w:lineRule="auto"/>
        <w:jc w:val="both"/>
      </w:pPr>
      <w:r>
        <w:rPr>
          <w:b/>
        </w:rPr>
        <w:t xml:space="preserve">ARTÍCULO 3. PREVENCIÓN DEL ANTISEMITISMO MEDIANTE LA EDUCACIÓN. </w:t>
      </w:r>
      <w:r>
        <w:t xml:space="preserve">La administración distrital incluirá en los programas de prevención en violencia en contextos escolares y justicia escolar restaurativa contenido educativo en torno a la memoria y reconocimiento del holocausto, el genocidio y la lucha contra los discursos de odio, sensibilizando con ello acerca de la problemática del antisemitismo en la ciudad, promoviendo con ello la igualdad de derechos entre todos los ciudadanos y definiendo las acciones necesarias para visibilizar y documentar la discriminación del pueblo judío en contextos escolares. </w:t>
      </w:r>
    </w:p>
    <w:p w:rsidR="0086247D" w:rsidRDefault="00FD1535">
      <w:pPr>
        <w:tabs>
          <w:tab w:val="left" w:pos="1560"/>
        </w:tabs>
        <w:spacing w:after="240" w:line="360" w:lineRule="auto"/>
        <w:jc w:val="both"/>
      </w:pPr>
      <w:r>
        <w:rPr>
          <w:b/>
        </w:rPr>
        <w:t xml:space="preserve">ARTÍCULO 4. PREVENCIÓN DEL ANTISEMITISMO MEDIANTE LA CULTURA. </w:t>
      </w:r>
      <w:r>
        <w:t xml:space="preserve">La administración distrital promoverá las buenas practicas sobre la memoria y el reconocimiento histórico del holocausto y el genocidio que contribuyan a la prevención del discurso y comportamientos de odio hacia la comunidad judía, promoviendo con ello, la convivencia </w:t>
      </w:r>
      <w:proofErr w:type="spellStart"/>
      <w:r>
        <w:t>pacifica</w:t>
      </w:r>
      <w:proofErr w:type="spellEnd"/>
      <w:r>
        <w:t xml:space="preserve"> en marco de la Red Distrital de Cultura Ciudadana y Democrática en Bogotá D.C. </w:t>
      </w:r>
    </w:p>
    <w:p w:rsidR="0086247D" w:rsidRDefault="00FD1535">
      <w:pPr>
        <w:tabs>
          <w:tab w:val="left" w:pos="1560"/>
        </w:tabs>
        <w:spacing w:after="240" w:line="360" w:lineRule="auto"/>
        <w:jc w:val="both"/>
      </w:pPr>
      <w:r>
        <w:rPr>
          <w:b/>
        </w:rPr>
        <w:t xml:space="preserve">ARTÍCULO 5. PREVENCIÓN DEL ANTISEMITISMO MEDIANTE LA SEGURIDAD Y CONVIVENCIA. </w:t>
      </w:r>
      <w:r>
        <w:t xml:space="preserve">La Administración Distrital generará los mecanismos efectivos de socialización para dar a conocer el contenido </w:t>
      </w:r>
      <w:proofErr w:type="gramStart"/>
      <w:r>
        <w:t>de  la</w:t>
      </w:r>
      <w:proofErr w:type="gramEnd"/>
      <w:r>
        <w:t xml:space="preserve"> Ley 1482 de 2011 modificada por la Ley 1752 de 2015, sobre actos de discriminación, especialmente los concernientes a la difusión de ideas o doctrinas que propicien, promuevan, el genocidio o el antisemitismo en la ciudad. </w:t>
      </w:r>
    </w:p>
    <w:p w:rsidR="0086247D" w:rsidRDefault="00FD1535">
      <w:pPr>
        <w:tabs>
          <w:tab w:val="left" w:pos="1560"/>
        </w:tabs>
        <w:spacing w:after="240" w:line="360" w:lineRule="auto"/>
        <w:jc w:val="both"/>
      </w:pPr>
      <w:r>
        <w:rPr>
          <w:b/>
        </w:rPr>
        <w:t xml:space="preserve">ARTÍCULO 6. VIGENCIA. </w:t>
      </w:r>
      <w:r>
        <w:t>El presente Acuerdo rige a partir de la fecha de su publicación.</w:t>
      </w:r>
    </w:p>
    <w:p w:rsidR="0086247D" w:rsidRDefault="00FD1535">
      <w:pPr>
        <w:tabs>
          <w:tab w:val="left" w:pos="1560"/>
        </w:tabs>
        <w:spacing w:after="240" w:line="360" w:lineRule="auto"/>
        <w:jc w:val="center"/>
        <w:rPr>
          <w:b/>
        </w:rPr>
      </w:pPr>
      <w:r>
        <w:rPr>
          <w:b/>
        </w:rPr>
        <w:t>PUBLÍQUESE Y CÚMPLASE</w:t>
      </w:r>
    </w:p>
    <w:sectPr w:rsidR="0086247D">
      <w:headerReference w:type="default" r:id="rId8"/>
      <w:footerReference w:type="even" r:id="rId9"/>
      <w:footerReference w:type="default" r:id="rId10"/>
      <w:pgSz w:w="12242" w:h="15842"/>
      <w:pgMar w:top="1701" w:right="1701" w:bottom="1701" w:left="1701" w:header="1134" w:footer="85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2B0D" w:rsidRDefault="00FD1535">
      <w:r>
        <w:separator/>
      </w:r>
    </w:p>
  </w:endnote>
  <w:endnote w:type="continuationSeparator" w:id="0">
    <w:p w:rsidR="00BA2B0D" w:rsidRDefault="00FD1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47D" w:rsidRDefault="00FD1535">
    <w:pPr>
      <w:pBdr>
        <w:top w:val="nil"/>
        <w:left w:val="nil"/>
        <w:bottom w:val="nil"/>
        <w:right w:val="nil"/>
        <w:between w:val="nil"/>
      </w:pBdr>
      <w:tabs>
        <w:tab w:val="center" w:pos="4252"/>
        <w:tab w:val="right" w:pos="8504"/>
      </w:tabs>
      <w:jc w:val="right"/>
    </w:pPr>
    <w:r>
      <w:fldChar w:fldCharType="begin"/>
    </w:r>
    <w:r>
      <w:instrText>PAGE</w:instrText>
    </w:r>
    <w:r>
      <w:fldChar w:fldCharType="end"/>
    </w:r>
  </w:p>
  <w:p w:rsidR="0086247D" w:rsidRDefault="0086247D">
    <w:pPr>
      <w:pBdr>
        <w:top w:val="nil"/>
        <w:left w:val="nil"/>
        <w:bottom w:val="nil"/>
        <w:right w:val="nil"/>
        <w:between w:val="nil"/>
      </w:pBdr>
      <w:tabs>
        <w:tab w:val="center" w:pos="4252"/>
        <w:tab w:val="right" w:pos="8504"/>
      </w:tabs>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47D" w:rsidRDefault="0086247D">
    <w:pPr>
      <w:pBdr>
        <w:top w:val="nil"/>
        <w:left w:val="nil"/>
        <w:bottom w:val="nil"/>
        <w:right w:val="nil"/>
        <w:between w:val="nil"/>
      </w:pBdr>
      <w:tabs>
        <w:tab w:val="center" w:pos="4252"/>
        <w:tab w:val="right" w:pos="8504"/>
      </w:tabs>
      <w:jc w:val="center"/>
      <w:rPr>
        <w:sz w:val="18"/>
        <w:szCs w:val="18"/>
      </w:rPr>
    </w:pPr>
  </w:p>
  <w:p w:rsidR="0086247D" w:rsidRDefault="0086247D">
    <w:pPr>
      <w:pBdr>
        <w:top w:val="nil"/>
        <w:left w:val="nil"/>
        <w:bottom w:val="nil"/>
        <w:right w:val="nil"/>
        <w:between w:val="nil"/>
      </w:pBdr>
      <w:tabs>
        <w:tab w:val="center" w:pos="4252"/>
        <w:tab w:val="right" w:pos="8504"/>
      </w:tabs>
      <w:jc w:val="center"/>
      <w:rPr>
        <w:sz w:val="18"/>
        <w:szCs w:val="18"/>
      </w:rPr>
    </w:pPr>
  </w:p>
  <w:p w:rsidR="0086247D" w:rsidRDefault="0086247D">
    <w:pPr>
      <w:pBdr>
        <w:top w:val="nil"/>
        <w:left w:val="nil"/>
        <w:bottom w:val="nil"/>
        <w:right w:val="nil"/>
        <w:between w:val="nil"/>
      </w:pBdr>
      <w:tabs>
        <w:tab w:val="center" w:pos="4252"/>
        <w:tab w:val="right" w:pos="8504"/>
      </w:tabs>
      <w:jc w:val="center"/>
      <w:rPr>
        <w:sz w:val="16"/>
        <w:szCs w:val="16"/>
      </w:rPr>
    </w:pPr>
  </w:p>
  <w:p w:rsidR="0086247D" w:rsidRDefault="0086247D">
    <w:pPr>
      <w:pBdr>
        <w:top w:val="nil"/>
        <w:left w:val="nil"/>
        <w:bottom w:val="nil"/>
        <w:right w:val="nil"/>
        <w:between w:val="nil"/>
      </w:pBdr>
      <w:tabs>
        <w:tab w:val="center" w:pos="4252"/>
        <w:tab w:val="right" w:pos="8504"/>
      </w:tabs>
      <w:rPr>
        <w:sz w:val="16"/>
        <w:szCs w:val="16"/>
      </w:rPr>
    </w:pPr>
  </w:p>
  <w:p w:rsidR="0086247D" w:rsidRDefault="0086247D">
    <w:pPr>
      <w:pBdr>
        <w:top w:val="nil"/>
        <w:left w:val="nil"/>
        <w:bottom w:val="nil"/>
        <w:right w:val="nil"/>
        <w:between w:val="nil"/>
      </w:pBdr>
      <w:tabs>
        <w:tab w:val="center" w:pos="4252"/>
        <w:tab w:val="right" w:pos="8504"/>
      </w:tabs>
      <w:rPr>
        <w:sz w:val="16"/>
        <w:szCs w:val="16"/>
      </w:rPr>
    </w:pPr>
  </w:p>
  <w:p w:rsidR="0086247D" w:rsidRDefault="0086247D">
    <w:pPr>
      <w:jc w:val="right"/>
      <w:rPr>
        <w:b/>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2B0D" w:rsidRDefault="00FD1535">
      <w:r>
        <w:separator/>
      </w:r>
    </w:p>
  </w:footnote>
  <w:footnote w:type="continuationSeparator" w:id="0">
    <w:p w:rsidR="00BA2B0D" w:rsidRDefault="00FD1535">
      <w:r>
        <w:continuationSeparator/>
      </w:r>
    </w:p>
  </w:footnote>
  <w:footnote w:id="1">
    <w:p w:rsidR="0086247D" w:rsidRDefault="00FD1535">
      <w:pPr>
        <w:jc w:val="both"/>
        <w:rPr>
          <w:sz w:val="20"/>
          <w:szCs w:val="20"/>
        </w:rPr>
      </w:pPr>
      <w:r>
        <w:rPr>
          <w:vertAlign w:val="superscript"/>
        </w:rPr>
        <w:footnoteRef/>
      </w:r>
      <w:r>
        <w:rPr>
          <w:sz w:val="20"/>
          <w:szCs w:val="20"/>
        </w:rPr>
        <w:t xml:space="preserve"> Países tales como Egipto, Jordania, Siria y Líbano, exceptuando a Irak, que a la fecha se ha negado a diálogos o negociaciones con el Estado de Israel. </w:t>
      </w:r>
    </w:p>
  </w:footnote>
  <w:footnote w:id="2">
    <w:p w:rsidR="0086247D" w:rsidRDefault="00FD1535">
      <w:pPr>
        <w:jc w:val="both"/>
        <w:rPr>
          <w:sz w:val="20"/>
          <w:szCs w:val="20"/>
        </w:rPr>
      </w:pPr>
      <w:r>
        <w:rPr>
          <w:vertAlign w:val="superscript"/>
        </w:rPr>
        <w:footnoteRef/>
      </w:r>
      <w:r>
        <w:rPr>
          <w:sz w:val="20"/>
          <w:szCs w:val="20"/>
        </w:rPr>
        <w:t xml:space="preserve"> HISTORIA: El Estado de Israel. (s. f.). Embajada de Israel en España. Recuperado 14 de febrero de 2024, de </w:t>
      </w:r>
      <w:hyperlink r:id="rId1">
        <w:r>
          <w:rPr>
            <w:color w:val="1155CC"/>
            <w:sz w:val="20"/>
            <w:szCs w:val="20"/>
            <w:u w:val="single"/>
          </w:rPr>
          <w:t>https://embassies.gov.il/madrid/AboutIsrael/history/Pages/HISTORIA-Estado-Israel.aspx</w:t>
        </w:r>
      </w:hyperlink>
      <w:r>
        <w:rPr>
          <w:sz w:val="20"/>
          <w:szCs w:val="20"/>
        </w:rPr>
        <w:t xml:space="preserve"> </w:t>
      </w:r>
    </w:p>
  </w:footnote>
  <w:footnote w:id="3">
    <w:p w:rsidR="0086247D" w:rsidRDefault="00FD1535">
      <w:pPr>
        <w:jc w:val="both"/>
        <w:rPr>
          <w:sz w:val="20"/>
          <w:szCs w:val="20"/>
        </w:rPr>
      </w:pPr>
      <w:r>
        <w:rPr>
          <w:vertAlign w:val="superscript"/>
        </w:rPr>
        <w:footnoteRef/>
      </w:r>
      <w:r>
        <w:rPr>
          <w:sz w:val="20"/>
          <w:szCs w:val="20"/>
        </w:rPr>
        <w:t xml:space="preserve"> González, D. (2020, 22 diciembre). Israel, en busca de la Tierra Prometida. El Orden Mundial - EOM. </w:t>
      </w:r>
      <w:hyperlink r:id="rId2">
        <w:r>
          <w:rPr>
            <w:color w:val="1155CC"/>
            <w:sz w:val="20"/>
            <w:szCs w:val="20"/>
            <w:u w:val="single"/>
          </w:rPr>
          <w:t>https://elordenmundial.com/israel-busca-la-tierra-prometida/</w:t>
        </w:r>
      </w:hyperlink>
      <w:r>
        <w:rPr>
          <w:sz w:val="20"/>
          <w:szCs w:val="20"/>
        </w:rPr>
        <w:t xml:space="preserve"> </w:t>
      </w:r>
    </w:p>
  </w:footnote>
  <w:footnote w:id="4">
    <w:p w:rsidR="0086247D" w:rsidRDefault="00FD1535">
      <w:pPr>
        <w:jc w:val="both"/>
        <w:rPr>
          <w:sz w:val="20"/>
          <w:szCs w:val="20"/>
        </w:rPr>
      </w:pPr>
      <w:r>
        <w:rPr>
          <w:vertAlign w:val="superscript"/>
        </w:rPr>
        <w:footnoteRef/>
      </w:r>
      <w:r>
        <w:rPr>
          <w:sz w:val="20"/>
          <w:szCs w:val="20"/>
        </w:rPr>
        <w:t xml:space="preserve"> De Redactores </w:t>
      </w:r>
      <w:proofErr w:type="spellStart"/>
      <w:r>
        <w:rPr>
          <w:sz w:val="20"/>
          <w:szCs w:val="20"/>
        </w:rPr>
        <w:t>Legis</w:t>
      </w:r>
      <w:proofErr w:type="spellEnd"/>
      <w:r>
        <w:rPr>
          <w:sz w:val="20"/>
          <w:szCs w:val="20"/>
        </w:rPr>
        <w:t xml:space="preserve">, E. (2023, 21 noviembre). Relación comercial entre Colombia e Israel. </w:t>
      </w:r>
      <w:proofErr w:type="spellStart"/>
      <w:r>
        <w:rPr>
          <w:sz w:val="20"/>
          <w:szCs w:val="20"/>
        </w:rPr>
        <w:t>LegisBlog</w:t>
      </w:r>
      <w:proofErr w:type="spellEnd"/>
      <w:r>
        <w:rPr>
          <w:sz w:val="20"/>
          <w:szCs w:val="20"/>
        </w:rPr>
        <w:t xml:space="preserve">. Recuperado 14 de febrero de 2024, de </w:t>
      </w:r>
      <w:hyperlink r:id="rId3">
        <w:r>
          <w:rPr>
            <w:color w:val="1155CC"/>
            <w:sz w:val="20"/>
            <w:szCs w:val="20"/>
            <w:u w:val="single"/>
          </w:rPr>
          <w:t>https://blog.legis.com.co/comercio-exterior/relaci%C3%B3n-comercial-entre-colombia-e-israel</w:t>
        </w:r>
      </w:hyperlink>
      <w:r>
        <w:rPr>
          <w:sz w:val="20"/>
          <w:szCs w:val="20"/>
        </w:rPr>
        <w:t xml:space="preserve"> </w:t>
      </w:r>
    </w:p>
  </w:footnote>
  <w:footnote w:id="5">
    <w:p w:rsidR="0086247D" w:rsidRDefault="00FD1535">
      <w:pPr>
        <w:jc w:val="both"/>
        <w:rPr>
          <w:sz w:val="20"/>
          <w:szCs w:val="20"/>
        </w:rPr>
      </w:pPr>
      <w:r>
        <w:rPr>
          <w:vertAlign w:val="superscript"/>
        </w:rPr>
        <w:footnoteRef/>
      </w:r>
      <w:r>
        <w:rPr>
          <w:sz w:val="20"/>
          <w:szCs w:val="20"/>
        </w:rPr>
        <w:t xml:space="preserve"> Leal Villamizar, L. M. (2015). Colombia frente al antisemitismo y la inmigración de judíos polacos y alemanes 1933-1948 (Doctoral </w:t>
      </w:r>
      <w:proofErr w:type="spellStart"/>
      <w:r>
        <w:rPr>
          <w:sz w:val="20"/>
          <w:szCs w:val="20"/>
        </w:rPr>
        <w:t>dissertation</w:t>
      </w:r>
      <w:proofErr w:type="spellEnd"/>
      <w:r>
        <w:rPr>
          <w:sz w:val="20"/>
          <w:szCs w:val="20"/>
        </w:rPr>
        <w:t xml:space="preserve">). </w:t>
      </w:r>
    </w:p>
  </w:footnote>
  <w:footnote w:id="6">
    <w:p w:rsidR="0086247D" w:rsidRDefault="00FD1535">
      <w:pPr>
        <w:jc w:val="both"/>
        <w:rPr>
          <w:sz w:val="20"/>
          <w:szCs w:val="20"/>
        </w:rPr>
      </w:pPr>
      <w:r>
        <w:rPr>
          <w:vertAlign w:val="superscript"/>
        </w:rPr>
        <w:footnoteRef/>
      </w:r>
      <w:r>
        <w:rPr>
          <w:sz w:val="20"/>
          <w:szCs w:val="20"/>
        </w:rPr>
        <w:t xml:space="preserve"> Texto antisemita con mayor difusión en la época contemporánea y que ha sido usado en diferentes ocasiones para promover el odio hacia los judíos y con el cual se ha culpado a los judíos de una serie de males, aseverando que existe una conspiración judía para dominar el mundo.</w:t>
      </w:r>
    </w:p>
  </w:footnote>
  <w:footnote w:id="7">
    <w:p w:rsidR="0086247D" w:rsidRDefault="00FD1535">
      <w:pPr>
        <w:rPr>
          <w:sz w:val="20"/>
          <w:szCs w:val="20"/>
        </w:rPr>
      </w:pPr>
      <w:r>
        <w:rPr>
          <w:vertAlign w:val="superscript"/>
        </w:rPr>
        <w:footnoteRef/>
      </w:r>
      <w:r>
        <w:rPr>
          <w:sz w:val="20"/>
          <w:szCs w:val="20"/>
        </w:rPr>
        <w:t xml:space="preserve"> Semana, R. (2023, 1 noviembre). Crisis diplomática con Israel: la historia de cómo el M-19 atentó dos veces contra embajada de ese país, cuando </w:t>
      </w:r>
      <w:proofErr w:type="spellStart"/>
      <w:r>
        <w:rPr>
          <w:sz w:val="20"/>
          <w:szCs w:val="20"/>
        </w:rPr>
        <w:t>Petro</w:t>
      </w:r>
      <w:proofErr w:type="spellEnd"/>
      <w:r>
        <w:rPr>
          <w:sz w:val="20"/>
          <w:szCs w:val="20"/>
        </w:rPr>
        <w:t xml:space="preserve"> militaba en esas filas. Semana.com   Últimas Noticias de Colombia y el Mundo. </w:t>
      </w:r>
      <w:hyperlink r:id="rId4">
        <w:r>
          <w:rPr>
            <w:color w:val="1155CC"/>
            <w:sz w:val="20"/>
            <w:szCs w:val="20"/>
            <w:u w:val="single"/>
          </w:rPr>
          <w:t>https://www.semana.com/nacion/articulo/crisis-diplomatica-con-israel-la-historia-de-como-el-m-19-atento-dos-veces-contra-embajada-de-ese-pais-cuando-petro-militaba-en-esas-filas/202345/</w:t>
        </w:r>
      </w:hyperlink>
      <w:r>
        <w:rPr>
          <w:sz w:val="20"/>
          <w:szCs w:val="20"/>
        </w:rPr>
        <w:t xml:space="preserve"> </w:t>
      </w:r>
    </w:p>
  </w:footnote>
  <w:footnote w:id="8">
    <w:p w:rsidR="0086247D" w:rsidRDefault="00FD1535">
      <w:pPr>
        <w:rPr>
          <w:sz w:val="20"/>
          <w:szCs w:val="20"/>
        </w:rPr>
      </w:pPr>
      <w:r>
        <w:rPr>
          <w:vertAlign w:val="superscript"/>
        </w:rPr>
        <w:footnoteRef/>
      </w:r>
      <w:r>
        <w:rPr>
          <w:sz w:val="20"/>
          <w:szCs w:val="20"/>
        </w:rPr>
        <w:t xml:space="preserve"> López de Miguel, M. (2021). </w:t>
      </w:r>
      <w:proofErr w:type="spellStart"/>
      <w:r>
        <w:rPr>
          <w:sz w:val="20"/>
          <w:szCs w:val="20"/>
        </w:rPr>
        <w:t>Hezbollah</w:t>
      </w:r>
      <w:proofErr w:type="spellEnd"/>
      <w:r>
        <w:rPr>
          <w:sz w:val="20"/>
          <w:szCs w:val="20"/>
        </w:rPr>
        <w:t xml:space="preserve">. El partido de Dios, su idiosincrasia y su posible amenaza global. Centro de Estudios Estratégicos del Ejército del Perú, Serie de Cuadernos de Análisis Estratégicos. </w:t>
      </w:r>
      <w:hyperlink r:id="rId5">
        <w:r>
          <w:rPr>
            <w:color w:val="1155CC"/>
            <w:sz w:val="20"/>
            <w:szCs w:val="20"/>
            <w:u w:val="single"/>
          </w:rPr>
          <w:t>https://ceeep.mil.pe/wp-content/uploads/2021/09/Hezbollah.-El-partido-de-Dios-su-idiosincrasia-y-su-posible-amenaza-global.pdf</w:t>
        </w:r>
      </w:hyperlink>
      <w:r>
        <w:rPr>
          <w:sz w:val="20"/>
          <w:szCs w:val="20"/>
        </w:rPr>
        <w:t xml:space="preserve"> </w:t>
      </w:r>
    </w:p>
  </w:footnote>
  <w:footnote w:id="9">
    <w:p w:rsidR="0086247D" w:rsidRDefault="00FD1535">
      <w:pPr>
        <w:rPr>
          <w:sz w:val="20"/>
          <w:szCs w:val="20"/>
        </w:rPr>
      </w:pPr>
      <w:r>
        <w:rPr>
          <w:vertAlign w:val="superscript"/>
        </w:rPr>
        <w:footnoteRef/>
      </w:r>
      <w:r>
        <w:rPr>
          <w:sz w:val="20"/>
          <w:szCs w:val="20"/>
        </w:rPr>
        <w:t xml:space="preserve"> </w:t>
      </w:r>
      <w:proofErr w:type="spellStart"/>
      <w:r>
        <w:rPr>
          <w:sz w:val="20"/>
          <w:szCs w:val="20"/>
        </w:rPr>
        <w:t>Bibliowicz</w:t>
      </w:r>
      <w:proofErr w:type="spellEnd"/>
      <w:r>
        <w:rPr>
          <w:sz w:val="20"/>
          <w:szCs w:val="20"/>
        </w:rPr>
        <w:t xml:space="preserve">, A. (2001). Intermitencia, ambivalencia y discrepancia: historia de la presencia judía en Colombia. Les </w:t>
      </w:r>
      <w:proofErr w:type="spellStart"/>
      <w:r>
        <w:rPr>
          <w:sz w:val="20"/>
          <w:szCs w:val="20"/>
        </w:rPr>
        <w:t>Cahiers</w:t>
      </w:r>
      <w:proofErr w:type="spellEnd"/>
      <w:r>
        <w:rPr>
          <w:sz w:val="20"/>
          <w:szCs w:val="20"/>
        </w:rPr>
        <w:t xml:space="preserve"> ALHIM, 3. </w:t>
      </w:r>
      <w:hyperlink r:id="rId6">
        <w:r>
          <w:rPr>
            <w:color w:val="1155CC"/>
            <w:sz w:val="20"/>
            <w:szCs w:val="20"/>
            <w:u w:val="single"/>
          </w:rPr>
          <w:t>https://doi.org/10.4000/alhim.535</w:t>
        </w:r>
      </w:hyperlink>
      <w:r>
        <w:rPr>
          <w:sz w:val="20"/>
          <w:szCs w:val="20"/>
        </w:rPr>
        <w:t xml:space="preserve"> </w:t>
      </w:r>
      <w:hyperlink r:id="rId7">
        <w:r>
          <w:rPr>
            <w:color w:val="1155CC"/>
            <w:sz w:val="20"/>
            <w:szCs w:val="20"/>
            <w:u w:val="single"/>
          </w:rPr>
          <w:t>https://journals.openedition.org/alhim/535</w:t>
        </w:r>
      </w:hyperlink>
      <w:r>
        <w:rPr>
          <w:sz w:val="20"/>
          <w:szCs w:val="20"/>
        </w:rPr>
        <w:t xml:space="preserve"> </w:t>
      </w:r>
    </w:p>
  </w:footnote>
  <w:footnote w:id="10">
    <w:p w:rsidR="0086247D" w:rsidRDefault="00FD1535">
      <w:pPr>
        <w:rPr>
          <w:sz w:val="20"/>
          <w:szCs w:val="20"/>
        </w:rPr>
      </w:pPr>
      <w:r>
        <w:rPr>
          <w:vertAlign w:val="superscript"/>
        </w:rPr>
        <w:footnoteRef/>
      </w:r>
      <w:proofErr w:type="spellStart"/>
      <w:r>
        <w:rPr>
          <w:color w:val="222222"/>
          <w:sz w:val="20"/>
          <w:szCs w:val="20"/>
          <w:highlight w:val="white"/>
        </w:rPr>
        <w:t>Cajiao</w:t>
      </w:r>
      <w:proofErr w:type="spellEnd"/>
      <w:r>
        <w:rPr>
          <w:color w:val="222222"/>
          <w:sz w:val="20"/>
          <w:szCs w:val="20"/>
          <w:highlight w:val="white"/>
        </w:rPr>
        <w:t xml:space="preserve">, N. S. Las Huellas del Mundo Judío en Bogotá-Centro de Memoria </w:t>
      </w:r>
      <w:proofErr w:type="spellStart"/>
      <w:r>
        <w:rPr>
          <w:color w:val="222222"/>
          <w:sz w:val="20"/>
          <w:szCs w:val="20"/>
          <w:highlight w:val="white"/>
        </w:rPr>
        <w:t>Ashkenazi</w:t>
      </w:r>
      <w:proofErr w:type="spellEnd"/>
      <w:r>
        <w:rPr>
          <w:color w:val="222222"/>
          <w:sz w:val="20"/>
          <w:szCs w:val="20"/>
          <w:highlight w:val="white"/>
        </w:rPr>
        <w:t>.</w:t>
      </w:r>
    </w:p>
    <w:p w:rsidR="0086247D" w:rsidRDefault="0086247D">
      <w:pPr>
        <w:rPr>
          <w:sz w:val="20"/>
          <w:szCs w:val="20"/>
        </w:rPr>
      </w:pPr>
    </w:p>
  </w:footnote>
  <w:footnote w:id="11">
    <w:p w:rsidR="0086247D" w:rsidRDefault="00FD1535">
      <w:pPr>
        <w:rPr>
          <w:sz w:val="20"/>
          <w:szCs w:val="20"/>
        </w:rPr>
      </w:pPr>
      <w:r>
        <w:rPr>
          <w:vertAlign w:val="superscript"/>
        </w:rPr>
        <w:footnoteRef/>
      </w:r>
      <w:r>
        <w:rPr>
          <w:sz w:val="20"/>
          <w:szCs w:val="20"/>
        </w:rPr>
        <w:t xml:space="preserve"> </w:t>
      </w:r>
      <w:r>
        <w:rPr>
          <w:i/>
          <w:sz w:val="20"/>
          <w:szCs w:val="20"/>
        </w:rPr>
        <w:t>Confederación de Comunidades Judías de Colombia</w:t>
      </w:r>
      <w:r>
        <w:rPr>
          <w:sz w:val="20"/>
          <w:szCs w:val="20"/>
        </w:rPr>
        <w:t xml:space="preserve"> (2023) </w:t>
      </w:r>
      <w:r>
        <w:rPr>
          <w:i/>
          <w:sz w:val="20"/>
          <w:szCs w:val="20"/>
        </w:rPr>
        <w:t>La Confederación de Comunidades Judías de Colombia es el organismo representante de las comunidades judías del país ante el gobierno nacional, las instituciones del estado colombiano, las organizaciones internacionales judías, el estado de Israel y en general ante toda organización pública y ante la comunidad en general.</w:t>
      </w:r>
      <w:r>
        <w:rPr>
          <w:sz w:val="20"/>
          <w:szCs w:val="20"/>
        </w:rPr>
        <w:t xml:space="preserve"> Disponible en: </w:t>
      </w:r>
      <w:hyperlink r:id="rId8">
        <w:r>
          <w:rPr>
            <w:color w:val="1155CC"/>
            <w:sz w:val="20"/>
            <w:szCs w:val="20"/>
            <w:u w:val="single"/>
          </w:rPr>
          <w:t>https://ccjcolombia.org/Detalle?id=23</w:t>
        </w:r>
      </w:hyperlink>
      <w:r>
        <w:rPr>
          <w:sz w:val="20"/>
          <w:szCs w:val="20"/>
        </w:rPr>
        <w:t xml:space="preserve"> (Consultado el 04 de marzo 2024). </w:t>
      </w:r>
    </w:p>
    <w:p w:rsidR="0086247D" w:rsidRDefault="0086247D">
      <w:pPr>
        <w:rPr>
          <w:sz w:val="20"/>
          <w:szCs w:val="20"/>
        </w:rPr>
      </w:pPr>
    </w:p>
  </w:footnote>
  <w:footnote w:id="12">
    <w:p w:rsidR="0086247D" w:rsidRDefault="00FD1535">
      <w:pPr>
        <w:rPr>
          <w:sz w:val="20"/>
          <w:szCs w:val="20"/>
        </w:rPr>
      </w:pPr>
      <w:r>
        <w:rPr>
          <w:vertAlign w:val="superscript"/>
        </w:rPr>
        <w:footnoteRef/>
      </w:r>
      <w:r>
        <w:rPr>
          <w:sz w:val="20"/>
          <w:szCs w:val="20"/>
        </w:rPr>
        <w:t xml:space="preserve"> </w:t>
      </w:r>
      <w:r>
        <w:rPr>
          <w:i/>
          <w:sz w:val="20"/>
          <w:szCs w:val="20"/>
        </w:rPr>
        <w:t>Bogotá participa en el Programa Internacional de la UNESCO de Educación sobre el holocausto y el genocidio​</w:t>
      </w:r>
      <w:r>
        <w:rPr>
          <w:sz w:val="20"/>
          <w:szCs w:val="20"/>
        </w:rPr>
        <w:t xml:space="preserve"> (2023) </w:t>
      </w:r>
      <w:r>
        <w:rPr>
          <w:i/>
          <w:sz w:val="20"/>
          <w:szCs w:val="20"/>
        </w:rPr>
        <w:t>Secretaría de Educación del Distrito</w:t>
      </w:r>
      <w:r>
        <w:rPr>
          <w:sz w:val="20"/>
          <w:szCs w:val="20"/>
        </w:rPr>
        <w:t xml:space="preserve">. Disponible en: </w:t>
      </w:r>
      <w:hyperlink r:id="rId9">
        <w:r>
          <w:rPr>
            <w:color w:val="1155CC"/>
            <w:sz w:val="20"/>
            <w:szCs w:val="20"/>
            <w:u w:val="single"/>
          </w:rPr>
          <w:t>https://educacionbogota.edu.co/portal_institucional/noticia/bogota-participa-en-el-programa-internacional-de-la-unesco-de-educacion-sobre-el-holocausto</w:t>
        </w:r>
      </w:hyperlink>
      <w:r>
        <w:rPr>
          <w:sz w:val="20"/>
          <w:szCs w:val="20"/>
        </w:rPr>
        <w:t xml:space="preserve"> (Consultado el 04 de marzo 2024). </w:t>
      </w:r>
    </w:p>
    <w:p w:rsidR="0086247D" w:rsidRDefault="0086247D">
      <w:pPr>
        <w:rPr>
          <w:sz w:val="20"/>
          <w:szCs w:val="20"/>
        </w:rPr>
      </w:pPr>
    </w:p>
  </w:footnote>
  <w:footnote w:id="13">
    <w:p w:rsidR="0086247D" w:rsidRDefault="00FD1535">
      <w:pPr>
        <w:rPr>
          <w:sz w:val="20"/>
          <w:szCs w:val="20"/>
        </w:rPr>
      </w:pPr>
      <w:r>
        <w:rPr>
          <w:vertAlign w:val="superscript"/>
        </w:rPr>
        <w:footnoteRef/>
      </w:r>
      <w:r>
        <w:rPr>
          <w:sz w:val="20"/>
          <w:szCs w:val="20"/>
        </w:rPr>
        <w:t xml:space="preserve"> ONU. (1969) Convención Internacional sobre la Eliminación de todas las Formas de Discriminación Racial.</w:t>
      </w:r>
    </w:p>
  </w:footnote>
  <w:footnote w:id="14">
    <w:p w:rsidR="0086247D" w:rsidRDefault="00FD1535">
      <w:pPr>
        <w:rPr>
          <w:sz w:val="20"/>
          <w:szCs w:val="20"/>
        </w:rPr>
      </w:pPr>
      <w:r>
        <w:rPr>
          <w:vertAlign w:val="superscript"/>
        </w:rPr>
        <w:footnoteRef/>
      </w:r>
      <w:proofErr w:type="spellStart"/>
      <w:r>
        <w:rPr>
          <w:sz w:val="20"/>
          <w:szCs w:val="20"/>
        </w:rPr>
        <w:t>United</w:t>
      </w:r>
      <w:proofErr w:type="spellEnd"/>
      <w:r>
        <w:rPr>
          <w:sz w:val="20"/>
          <w:szCs w:val="20"/>
        </w:rPr>
        <w:t xml:space="preserve"> </w:t>
      </w:r>
      <w:proofErr w:type="spellStart"/>
      <w:r>
        <w:rPr>
          <w:sz w:val="20"/>
          <w:szCs w:val="20"/>
        </w:rPr>
        <w:t>Nations</w:t>
      </w:r>
      <w:proofErr w:type="spellEnd"/>
      <w:r>
        <w:rPr>
          <w:sz w:val="20"/>
          <w:szCs w:val="20"/>
        </w:rPr>
        <w:t xml:space="preserve">. (1986). Pág. 287. </w:t>
      </w:r>
      <w:proofErr w:type="spellStart"/>
      <w:r>
        <w:rPr>
          <w:sz w:val="20"/>
          <w:szCs w:val="20"/>
        </w:rPr>
        <w:t>Commission</w:t>
      </w:r>
      <w:proofErr w:type="spellEnd"/>
      <w:r>
        <w:rPr>
          <w:sz w:val="20"/>
          <w:szCs w:val="20"/>
        </w:rPr>
        <w:t xml:space="preserve"> </w:t>
      </w:r>
      <w:proofErr w:type="spellStart"/>
      <w:r>
        <w:rPr>
          <w:sz w:val="20"/>
          <w:szCs w:val="20"/>
        </w:rPr>
        <w:t>on</w:t>
      </w:r>
      <w:proofErr w:type="spellEnd"/>
      <w:r>
        <w:rPr>
          <w:sz w:val="20"/>
          <w:szCs w:val="20"/>
        </w:rPr>
        <w:t xml:space="preserve"> Human </w:t>
      </w:r>
      <w:proofErr w:type="spellStart"/>
      <w:r>
        <w:rPr>
          <w:sz w:val="20"/>
          <w:szCs w:val="20"/>
        </w:rPr>
        <w:t>Rights</w:t>
      </w:r>
      <w:proofErr w:type="spellEnd"/>
      <w:r>
        <w:rPr>
          <w:sz w:val="20"/>
          <w:szCs w:val="20"/>
        </w:rPr>
        <w:t xml:space="preserve">. </w:t>
      </w:r>
      <w:proofErr w:type="spellStart"/>
      <w:r>
        <w:rPr>
          <w:sz w:val="20"/>
          <w:szCs w:val="20"/>
        </w:rPr>
        <w:t>Report</w:t>
      </w:r>
      <w:proofErr w:type="spellEnd"/>
      <w:r>
        <w:rPr>
          <w:sz w:val="20"/>
          <w:szCs w:val="20"/>
        </w:rPr>
        <w:t xml:space="preserve"> </w:t>
      </w:r>
      <w:proofErr w:type="spellStart"/>
      <w:r>
        <w:rPr>
          <w:sz w:val="20"/>
          <w:szCs w:val="20"/>
        </w:rPr>
        <w:t>on</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forty-second</w:t>
      </w:r>
      <w:proofErr w:type="spellEnd"/>
      <w:r>
        <w:rPr>
          <w:sz w:val="20"/>
          <w:szCs w:val="20"/>
        </w:rPr>
        <w:t xml:space="preserve"> </w:t>
      </w:r>
      <w:proofErr w:type="spellStart"/>
      <w:r>
        <w:rPr>
          <w:sz w:val="20"/>
          <w:szCs w:val="20"/>
        </w:rPr>
        <w:t>session</w:t>
      </w:r>
      <w:proofErr w:type="spellEnd"/>
      <w:r>
        <w:rPr>
          <w:sz w:val="20"/>
          <w:szCs w:val="20"/>
        </w:rPr>
        <w:t xml:space="preserve">. </w:t>
      </w:r>
      <w:hyperlink r:id="rId10">
        <w:r>
          <w:rPr>
            <w:color w:val="1155CC"/>
            <w:sz w:val="20"/>
            <w:szCs w:val="20"/>
            <w:u w:val="single"/>
          </w:rPr>
          <w:t>https://uvallsc.s3.amazonaws.com/travaux/s3fs-public/E-1986-22__E-CN_4-1986-65_0.pdf?null</w:t>
        </w:r>
      </w:hyperlink>
      <w:r>
        <w:rPr>
          <w:sz w:val="20"/>
          <w:szCs w:val="20"/>
        </w:rPr>
        <w:t xml:space="preserve"> </w:t>
      </w:r>
    </w:p>
  </w:footnote>
  <w:footnote w:id="15">
    <w:p w:rsidR="0086247D" w:rsidRDefault="00FD1535">
      <w:pPr>
        <w:pBdr>
          <w:top w:val="nil"/>
          <w:left w:val="nil"/>
          <w:bottom w:val="nil"/>
          <w:right w:val="nil"/>
          <w:between w:val="nil"/>
        </w:pBdr>
        <w:jc w:val="both"/>
        <w:rPr>
          <w:sz w:val="20"/>
          <w:szCs w:val="20"/>
        </w:rPr>
      </w:pPr>
      <w:r>
        <w:rPr>
          <w:vertAlign w:val="superscript"/>
        </w:rPr>
        <w:footnoteRef/>
      </w:r>
      <w:proofErr w:type="spellStart"/>
      <w:r>
        <w:rPr>
          <w:sz w:val="20"/>
          <w:szCs w:val="20"/>
        </w:rPr>
        <w:t>Refworld</w:t>
      </w:r>
      <w:proofErr w:type="spellEnd"/>
      <w:r>
        <w:rPr>
          <w:sz w:val="20"/>
          <w:szCs w:val="20"/>
        </w:rPr>
        <w:t xml:space="preserve"> - </w:t>
      </w:r>
      <w:proofErr w:type="spellStart"/>
      <w:r>
        <w:rPr>
          <w:sz w:val="20"/>
          <w:szCs w:val="20"/>
        </w:rPr>
        <w:t>UNHCR’s</w:t>
      </w:r>
      <w:proofErr w:type="spellEnd"/>
      <w:r>
        <w:rPr>
          <w:sz w:val="20"/>
          <w:szCs w:val="20"/>
        </w:rPr>
        <w:t xml:space="preserve"> Global </w:t>
      </w:r>
      <w:proofErr w:type="spellStart"/>
      <w:r>
        <w:rPr>
          <w:sz w:val="20"/>
          <w:szCs w:val="20"/>
        </w:rPr>
        <w:t>Law</w:t>
      </w:r>
      <w:proofErr w:type="spellEnd"/>
      <w:r>
        <w:rPr>
          <w:sz w:val="20"/>
          <w:szCs w:val="20"/>
        </w:rPr>
        <w:t xml:space="preserve"> and </w:t>
      </w:r>
      <w:proofErr w:type="spellStart"/>
      <w:r>
        <w:rPr>
          <w:sz w:val="20"/>
          <w:szCs w:val="20"/>
        </w:rPr>
        <w:t>Policy</w:t>
      </w:r>
      <w:proofErr w:type="spellEnd"/>
      <w:r>
        <w:rPr>
          <w:sz w:val="20"/>
          <w:szCs w:val="20"/>
        </w:rPr>
        <w:t xml:space="preserve"> </w:t>
      </w:r>
      <w:proofErr w:type="spellStart"/>
      <w:r>
        <w:rPr>
          <w:sz w:val="20"/>
          <w:szCs w:val="20"/>
        </w:rPr>
        <w:t>Database</w:t>
      </w:r>
      <w:proofErr w:type="spellEnd"/>
      <w:r>
        <w:rPr>
          <w:sz w:val="20"/>
          <w:szCs w:val="20"/>
        </w:rPr>
        <w:t xml:space="preserve">. (2024, 12 febrero). </w:t>
      </w:r>
      <w:proofErr w:type="spellStart"/>
      <w:r>
        <w:rPr>
          <w:sz w:val="20"/>
          <w:szCs w:val="20"/>
        </w:rPr>
        <w:t>Implementation</w:t>
      </w:r>
      <w:proofErr w:type="spellEnd"/>
      <w:r>
        <w:rPr>
          <w:sz w:val="20"/>
          <w:szCs w:val="20"/>
        </w:rPr>
        <w:t xml:space="preserve"> of </w:t>
      </w:r>
      <w:proofErr w:type="spellStart"/>
      <w:r>
        <w:rPr>
          <w:sz w:val="20"/>
          <w:szCs w:val="20"/>
        </w:rPr>
        <w:t>the</w:t>
      </w:r>
      <w:proofErr w:type="spellEnd"/>
      <w:r>
        <w:rPr>
          <w:sz w:val="20"/>
          <w:szCs w:val="20"/>
        </w:rPr>
        <w:t xml:space="preserve"> </w:t>
      </w:r>
      <w:proofErr w:type="spellStart"/>
      <w:r>
        <w:rPr>
          <w:sz w:val="20"/>
          <w:szCs w:val="20"/>
        </w:rPr>
        <w:t>Declaration</w:t>
      </w:r>
      <w:proofErr w:type="spellEnd"/>
      <w:r>
        <w:rPr>
          <w:sz w:val="20"/>
          <w:szCs w:val="20"/>
        </w:rPr>
        <w:t xml:space="preserve"> </w:t>
      </w:r>
      <w:proofErr w:type="spellStart"/>
      <w:r>
        <w:rPr>
          <w:sz w:val="20"/>
          <w:szCs w:val="20"/>
        </w:rPr>
        <w:t>on</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Elimination</w:t>
      </w:r>
      <w:proofErr w:type="spellEnd"/>
      <w:r>
        <w:rPr>
          <w:sz w:val="20"/>
          <w:szCs w:val="20"/>
        </w:rPr>
        <w:t xml:space="preserve"> of </w:t>
      </w:r>
      <w:proofErr w:type="spellStart"/>
      <w:r>
        <w:rPr>
          <w:sz w:val="20"/>
          <w:szCs w:val="20"/>
        </w:rPr>
        <w:t>All</w:t>
      </w:r>
      <w:proofErr w:type="spellEnd"/>
      <w:r>
        <w:rPr>
          <w:sz w:val="20"/>
          <w:szCs w:val="20"/>
        </w:rPr>
        <w:t xml:space="preserve"> </w:t>
      </w:r>
      <w:proofErr w:type="spellStart"/>
      <w:r>
        <w:rPr>
          <w:sz w:val="20"/>
          <w:szCs w:val="20"/>
        </w:rPr>
        <w:t>Forms</w:t>
      </w:r>
      <w:proofErr w:type="spellEnd"/>
      <w:r>
        <w:rPr>
          <w:sz w:val="20"/>
          <w:szCs w:val="20"/>
        </w:rPr>
        <w:t xml:space="preserve"> of </w:t>
      </w:r>
      <w:proofErr w:type="spellStart"/>
      <w:r>
        <w:rPr>
          <w:sz w:val="20"/>
          <w:szCs w:val="20"/>
        </w:rPr>
        <w:t>Intolerance</w:t>
      </w:r>
      <w:proofErr w:type="spellEnd"/>
      <w:r>
        <w:rPr>
          <w:sz w:val="20"/>
          <w:szCs w:val="20"/>
        </w:rPr>
        <w:t xml:space="preserve"> and of </w:t>
      </w:r>
      <w:proofErr w:type="spellStart"/>
      <w:r>
        <w:rPr>
          <w:sz w:val="20"/>
          <w:szCs w:val="20"/>
        </w:rPr>
        <w:t>Discrimination</w:t>
      </w:r>
      <w:proofErr w:type="spellEnd"/>
      <w:r>
        <w:rPr>
          <w:sz w:val="20"/>
          <w:szCs w:val="20"/>
        </w:rPr>
        <w:t xml:space="preserve"> </w:t>
      </w:r>
      <w:proofErr w:type="spellStart"/>
      <w:r>
        <w:rPr>
          <w:sz w:val="20"/>
          <w:szCs w:val="20"/>
        </w:rPr>
        <w:t>Based</w:t>
      </w:r>
      <w:proofErr w:type="spellEnd"/>
      <w:r>
        <w:rPr>
          <w:sz w:val="20"/>
          <w:szCs w:val="20"/>
        </w:rPr>
        <w:t xml:space="preserve"> </w:t>
      </w:r>
      <w:proofErr w:type="spellStart"/>
      <w:r>
        <w:rPr>
          <w:sz w:val="20"/>
          <w:szCs w:val="20"/>
        </w:rPr>
        <w:t>on</w:t>
      </w:r>
      <w:proofErr w:type="spellEnd"/>
      <w:r>
        <w:rPr>
          <w:sz w:val="20"/>
          <w:szCs w:val="20"/>
        </w:rPr>
        <w:t xml:space="preserve"> </w:t>
      </w:r>
      <w:proofErr w:type="spellStart"/>
      <w:r>
        <w:rPr>
          <w:sz w:val="20"/>
          <w:szCs w:val="20"/>
        </w:rPr>
        <w:t>Religion</w:t>
      </w:r>
      <w:proofErr w:type="spellEnd"/>
      <w:r>
        <w:rPr>
          <w:sz w:val="20"/>
          <w:szCs w:val="20"/>
        </w:rPr>
        <w:t xml:space="preserve"> </w:t>
      </w:r>
      <w:proofErr w:type="spellStart"/>
      <w:r>
        <w:rPr>
          <w:sz w:val="20"/>
          <w:szCs w:val="20"/>
        </w:rPr>
        <w:t>or</w:t>
      </w:r>
      <w:proofErr w:type="spellEnd"/>
      <w:r>
        <w:rPr>
          <w:sz w:val="20"/>
          <w:szCs w:val="20"/>
        </w:rPr>
        <w:t xml:space="preserve"> </w:t>
      </w:r>
      <w:proofErr w:type="spellStart"/>
      <w:r>
        <w:rPr>
          <w:sz w:val="20"/>
          <w:szCs w:val="20"/>
        </w:rPr>
        <w:t>Belief</w:t>
      </w:r>
      <w:proofErr w:type="spellEnd"/>
      <w:r>
        <w:rPr>
          <w:sz w:val="20"/>
          <w:szCs w:val="20"/>
        </w:rPr>
        <w:t xml:space="preserve">. </w:t>
      </w:r>
      <w:proofErr w:type="spellStart"/>
      <w:r>
        <w:rPr>
          <w:sz w:val="20"/>
          <w:szCs w:val="20"/>
        </w:rPr>
        <w:t>Refworld</w:t>
      </w:r>
      <w:proofErr w:type="spellEnd"/>
      <w:r>
        <w:rPr>
          <w:sz w:val="20"/>
          <w:szCs w:val="20"/>
        </w:rPr>
        <w:t xml:space="preserve">. </w:t>
      </w:r>
      <w:hyperlink r:id="rId11">
        <w:r>
          <w:rPr>
            <w:color w:val="1155CC"/>
            <w:sz w:val="20"/>
            <w:szCs w:val="20"/>
            <w:u w:val="single"/>
          </w:rPr>
          <w:t>https://www.refworld.org/legal/resolution/unchr/1986/en/13492</w:t>
        </w:r>
      </w:hyperlink>
      <w:r>
        <w:rPr>
          <w:sz w:val="20"/>
          <w:szCs w:val="20"/>
        </w:rPr>
        <w:t xml:space="preserve">  </w:t>
      </w:r>
    </w:p>
  </w:footnote>
  <w:footnote w:id="16">
    <w:p w:rsidR="0086247D" w:rsidRDefault="00FD1535">
      <w:pPr>
        <w:rPr>
          <w:sz w:val="20"/>
          <w:szCs w:val="20"/>
        </w:rPr>
      </w:pPr>
      <w:r>
        <w:rPr>
          <w:vertAlign w:val="superscript"/>
        </w:rPr>
        <w:footnoteRef/>
      </w:r>
      <w:r>
        <w:rPr>
          <w:sz w:val="20"/>
          <w:szCs w:val="20"/>
        </w:rPr>
        <w:t xml:space="preserve"> </w:t>
      </w:r>
      <w:proofErr w:type="spellStart"/>
      <w:r>
        <w:rPr>
          <w:sz w:val="20"/>
          <w:szCs w:val="20"/>
        </w:rPr>
        <w:t>United</w:t>
      </w:r>
      <w:proofErr w:type="spellEnd"/>
      <w:r>
        <w:rPr>
          <w:sz w:val="20"/>
          <w:szCs w:val="20"/>
        </w:rPr>
        <w:t xml:space="preserve"> </w:t>
      </w:r>
      <w:proofErr w:type="spellStart"/>
      <w:r>
        <w:rPr>
          <w:sz w:val="20"/>
          <w:szCs w:val="20"/>
        </w:rPr>
        <w:t>Nations</w:t>
      </w:r>
      <w:proofErr w:type="spellEnd"/>
      <w:r>
        <w:rPr>
          <w:sz w:val="20"/>
          <w:szCs w:val="20"/>
        </w:rPr>
        <w:t xml:space="preserve">. (1986). Pág. 287. </w:t>
      </w:r>
      <w:proofErr w:type="spellStart"/>
      <w:r>
        <w:rPr>
          <w:sz w:val="20"/>
          <w:szCs w:val="20"/>
        </w:rPr>
        <w:t>Commission</w:t>
      </w:r>
      <w:proofErr w:type="spellEnd"/>
      <w:r>
        <w:rPr>
          <w:sz w:val="20"/>
          <w:szCs w:val="20"/>
        </w:rPr>
        <w:t xml:space="preserve"> </w:t>
      </w:r>
      <w:proofErr w:type="spellStart"/>
      <w:r>
        <w:rPr>
          <w:sz w:val="20"/>
          <w:szCs w:val="20"/>
        </w:rPr>
        <w:t>on</w:t>
      </w:r>
      <w:proofErr w:type="spellEnd"/>
      <w:r>
        <w:rPr>
          <w:sz w:val="20"/>
          <w:szCs w:val="20"/>
        </w:rPr>
        <w:t xml:space="preserve"> Human </w:t>
      </w:r>
      <w:proofErr w:type="spellStart"/>
      <w:r>
        <w:rPr>
          <w:sz w:val="20"/>
          <w:szCs w:val="20"/>
        </w:rPr>
        <w:t>Rights</w:t>
      </w:r>
      <w:proofErr w:type="spellEnd"/>
      <w:r>
        <w:rPr>
          <w:sz w:val="20"/>
          <w:szCs w:val="20"/>
        </w:rPr>
        <w:t xml:space="preserve">. </w:t>
      </w:r>
      <w:proofErr w:type="spellStart"/>
      <w:r>
        <w:rPr>
          <w:sz w:val="20"/>
          <w:szCs w:val="20"/>
        </w:rPr>
        <w:t>Report</w:t>
      </w:r>
      <w:proofErr w:type="spellEnd"/>
      <w:r>
        <w:rPr>
          <w:sz w:val="20"/>
          <w:szCs w:val="20"/>
        </w:rPr>
        <w:t xml:space="preserve"> </w:t>
      </w:r>
      <w:proofErr w:type="spellStart"/>
      <w:r>
        <w:rPr>
          <w:sz w:val="20"/>
          <w:szCs w:val="20"/>
        </w:rPr>
        <w:t>on</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forty-second</w:t>
      </w:r>
      <w:proofErr w:type="spellEnd"/>
      <w:r>
        <w:rPr>
          <w:sz w:val="20"/>
          <w:szCs w:val="20"/>
        </w:rPr>
        <w:t xml:space="preserve"> </w:t>
      </w:r>
      <w:proofErr w:type="spellStart"/>
      <w:r>
        <w:rPr>
          <w:sz w:val="20"/>
          <w:szCs w:val="20"/>
        </w:rPr>
        <w:t>session</w:t>
      </w:r>
      <w:proofErr w:type="spellEnd"/>
      <w:r>
        <w:rPr>
          <w:sz w:val="20"/>
          <w:szCs w:val="20"/>
        </w:rPr>
        <w:t xml:space="preserve">. </w:t>
      </w:r>
      <w:hyperlink r:id="rId12">
        <w:r>
          <w:rPr>
            <w:color w:val="1155CC"/>
            <w:sz w:val="20"/>
            <w:szCs w:val="20"/>
            <w:u w:val="single"/>
          </w:rPr>
          <w:t>https://uvallsc.s3.amazonaws.com/travaux/s3fs-public/E-1986-22__E-CN_4-1986-65_0.pdf?null</w:t>
        </w:r>
      </w:hyperlink>
      <w:r>
        <w:rPr>
          <w:sz w:val="20"/>
          <w:szCs w:val="20"/>
        </w:rPr>
        <w:t xml:space="preserve"> </w:t>
      </w:r>
    </w:p>
  </w:footnote>
  <w:footnote w:id="17">
    <w:p w:rsidR="0086247D" w:rsidRDefault="00FD1535">
      <w:pPr>
        <w:pBdr>
          <w:top w:val="nil"/>
          <w:left w:val="nil"/>
          <w:bottom w:val="nil"/>
          <w:right w:val="nil"/>
          <w:between w:val="nil"/>
        </w:pBdr>
        <w:rPr>
          <w:sz w:val="20"/>
          <w:szCs w:val="20"/>
        </w:rPr>
      </w:pPr>
      <w:r>
        <w:rPr>
          <w:vertAlign w:val="superscript"/>
        </w:rPr>
        <w:footnoteRef/>
      </w:r>
      <w:r>
        <w:rPr>
          <w:sz w:val="20"/>
          <w:szCs w:val="20"/>
        </w:rPr>
        <w:t xml:space="preserve"> </w:t>
      </w:r>
      <w:proofErr w:type="spellStart"/>
      <w:r>
        <w:rPr>
          <w:sz w:val="20"/>
          <w:szCs w:val="20"/>
        </w:rPr>
        <w:t>Gamez</w:t>
      </w:r>
      <w:proofErr w:type="spellEnd"/>
      <w:r>
        <w:rPr>
          <w:sz w:val="20"/>
          <w:szCs w:val="20"/>
        </w:rPr>
        <w:t xml:space="preserve">, M. J. (2022, 24 mayo). Objetivos y metas de desarrollo sostenible - Desarrollo Sostenible. Desarrollo Sostenible. </w:t>
      </w:r>
      <w:hyperlink r:id="rId13">
        <w:r>
          <w:rPr>
            <w:color w:val="1155CC"/>
            <w:sz w:val="20"/>
            <w:szCs w:val="20"/>
            <w:u w:val="single"/>
          </w:rPr>
          <w:t>https://www.un.org/sustainabledevelopment/es/objetivos-de-desarrollo-sostenible/</w:t>
        </w:r>
      </w:hyperlink>
      <w:r>
        <w:rPr>
          <w:sz w:val="20"/>
          <w:szCs w:val="20"/>
        </w:rPr>
        <w:t xml:space="preserve"> </w:t>
      </w:r>
    </w:p>
  </w:footnote>
  <w:footnote w:id="18">
    <w:p w:rsidR="0086247D" w:rsidRDefault="00FD1535">
      <w:pPr>
        <w:rPr>
          <w:sz w:val="20"/>
          <w:szCs w:val="20"/>
        </w:rPr>
      </w:pPr>
      <w:r>
        <w:rPr>
          <w:vertAlign w:val="superscript"/>
        </w:rPr>
        <w:footnoteRef/>
      </w:r>
      <w:r>
        <w:rPr>
          <w:sz w:val="20"/>
          <w:szCs w:val="20"/>
        </w:rPr>
        <w:t xml:space="preserve"> Antisemitismo. (s. f.). </w:t>
      </w:r>
      <w:hyperlink r:id="rId14">
        <w:r>
          <w:rPr>
            <w:color w:val="1155CC"/>
            <w:sz w:val="20"/>
            <w:szCs w:val="20"/>
            <w:u w:val="single"/>
          </w:rPr>
          <w:t>https://www.yadvashem.org/es/holocaust/encyclopedia/antisemitismo.html</w:t>
        </w:r>
      </w:hyperlink>
      <w:r>
        <w:rPr>
          <w:sz w:val="20"/>
          <w:szCs w:val="20"/>
        </w:rPr>
        <w:t xml:space="preserve"> </w:t>
      </w:r>
    </w:p>
  </w:footnote>
  <w:footnote w:id="19">
    <w:p w:rsidR="0086247D" w:rsidRDefault="00FD1535">
      <w:pPr>
        <w:jc w:val="both"/>
        <w:rPr>
          <w:sz w:val="20"/>
          <w:szCs w:val="20"/>
        </w:rPr>
      </w:pPr>
      <w:r>
        <w:rPr>
          <w:vertAlign w:val="superscript"/>
        </w:rPr>
        <w:footnoteRef/>
      </w:r>
      <w:r>
        <w:rPr>
          <w:sz w:val="20"/>
          <w:szCs w:val="20"/>
        </w:rPr>
        <w:t xml:space="preserve">Antisemitismo. Relator Especial sobre la libertad de religión o de creencias. (s. f.). Naciones Unidas. Oficina del Alto Comisionado de Derechos Humanos. Recuperado 14 de febrero de 2024, de </w:t>
      </w:r>
      <w:hyperlink r:id="rId15">
        <w:r>
          <w:rPr>
            <w:color w:val="1155CC"/>
            <w:sz w:val="20"/>
            <w:szCs w:val="20"/>
            <w:u w:val="single"/>
          </w:rPr>
          <w:t>https://www.ohchr.org/es/special-procedures/sr-religion-or-belief/antisemitism</w:t>
        </w:r>
      </w:hyperlink>
      <w:r>
        <w:rPr>
          <w:sz w:val="20"/>
          <w:szCs w:val="20"/>
        </w:rPr>
        <w:t xml:space="preserve"> </w:t>
      </w:r>
    </w:p>
  </w:footnote>
  <w:footnote w:id="20">
    <w:p w:rsidR="0086247D" w:rsidRDefault="00FD1535">
      <w:pPr>
        <w:jc w:val="both"/>
        <w:rPr>
          <w:sz w:val="20"/>
          <w:szCs w:val="20"/>
        </w:rPr>
      </w:pPr>
      <w:r>
        <w:rPr>
          <w:vertAlign w:val="superscript"/>
        </w:rPr>
        <w:footnoteRef/>
      </w:r>
      <w:r>
        <w:rPr>
          <w:sz w:val="20"/>
          <w:szCs w:val="20"/>
        </w:rPr>
        <w:t xml:space="preserve">Organización de las Naciones Unidas para la Educación, la Ciencia y la Cultura (UNESCO). (2019). PREVENCIÓN DEL ANTISEMITISMO MEDIANTE LA EDUCACIÓN. </w:t>
      </w:r>
      <w:hyperlink r:id="rId16">
        <w:r>
          <w:rPr>
            <w:color w:val="1155CC"/>
            <w:sz w:val="20"/>
            <w:szCs w:val="20"/>
            <w:u w:val="single"/>
          </w:rPr>
          <w:t>https://www.osce.org/files/f/documents/8/4/444640.pdf</w:t>
        </w:r>
      </w:hyperlink>
      <w:r>
        <w:rPr>
          <w:sz w:val="20"/>
          <w:szCs w:val="20"/>
        </w:rPr>
        <w:t xml:space="preserve"> </w:t>
      </w:r>
    </w:p>
  </w:footnote>
  <w:footnote w:id="21">
    <w:p w:rsidR="0086247D" w:rsidRDefault="00FD1535">
      <w:pPr>
        <w:rPr>
          <w:sz w:val="20"/>
          <w:szCs w:val="20"/>
        </w:rPr>
      </w:pPr>
      <w:r>
        <w:rPr>
          <w:vertAlign w:val="superscript"/>
        </w:rPr>
        <w:footnoteRef/>
      </w:r>
      <w:r>
        <w:rPr>
          <w:sz w:val="20"/>
          <w:szCs w:val="20"/>
        </w:rPr>
        <w:t xml:space="preserve"> </w:t>
      </w:r>
      <w:proofErr w:type="spellStart"/>
      <w:r>
        <w:rPr>
          <w:sz w:val="20"/>
          <w:szCs w:val="20"/>
        </w:rPr>
        <w:t>António</w:t>
      </w:r>
      <w:proofErr w:type="spellEnd"/>
      <w:r>
        <w:rPr>
          <w:sz w:val="20"/>
          <w:szCs w:val="20"/>
        </w:rPr>
        <w:t xml:space="preserve"> </w:t>
      </w:r>
      <w:proofErr w:type="spellStart"/>
      <w:r>
        <w:rPr>
          <w:sz w:val="20"/>
          <w:szCs w:val="20"/>
        </w:rPr>
        <w:t>Guterres</w:t>
      </w:r>
      <w:proofErr w:type="spellEnd"/>
      <w:r>
        <w:rPr>
          <w:sz w:val="20"/>
          <w:szCs w:val="20"/>
        </w:rPr>
        <w:t>, secretario general de la ONU, declaró en agosto de 2017</w:t>
      </w:r>
      <w:proofErr w:type="gramStart"/>
      <w:r>
        <w:rPr>
          <w:sz w:val="20"/>
          <w:szCs w:val="20"/>
        </w:rPr>
        <w:t>:  “</w:t>
      </w:r>
      <w:proofErr w:type="gramEnd"/>
      <w:r>
        <w:rPr>
          <w:sz w:val="20"/>
          <w:szCs w:val="20"/>
        </w:rPr>
        <w:t>expresar […] el deseo de destruir el Estado de Israel es una forma inaceptable de antisemitismo moderno” (UNESCO, 2019, p.p. 25).</w:t>
      </w:r>
    </w:p>
  </w:footnote>
  <w:footnote w:id="22">
    <w:p w:rsidR="0086247D" w:rsidRDefault="00FD1535">
      <w:pPr>
        <w:rPr>
          <w:sz w:val="20"/>
          <w:szCs w:val="20"/>
        </w:rPr>
      </w:pPr>
      <w:r>
        <w:rPr>
          <w:vertAlign w:val="superscript"/>
        </w:rPr>
        <w:footnoteRef/>
      </w:r>
      <w:r>
        <w:rPr>
          <w:sz w:val="20"/>
          <w:szCs w:val="20"/>
        </w:rPr>
        <w:t xml:space="preserve"> </w:t>
      </w:r>
      <w:r>
        <w:rPr>
          <w:i/>
          <w:sz w:val="20"/>
          <w:szCs w:val="20"/>
        </w:rPr>
        <w:t xml:space="preserve">Digital </w:t>
      </w:r>
      <w:proofErr w:type="spellStart"/>
      <w:r>
        <w:rPr>
          <w:i/>
          <w:sz w:val="20"/>
          <w:szCs w:val="20"/>
        </w:rPr>
        <w:t>Terrorism</w:t>
      </w:r>
      <w:proofErr w:type="spellEnd"/>
      <w:r>
        <w:rPr>
          <w:i/>
          <w:sz w:val="20"/>
          <w:szCs w:val="20"/>
        </w:rPr>
        <w:t xml:space="preserve"> and </w:t>
      </w:r>
      <w:proofErr w:type="spellStart"/>
      <w:r>
        <w:rPr>
          <w:i/>
          <w:sz w:val="20"/>
          <w:szCs w:val="20"/>
        </w:rPr>
        <w:t>Hate</w:t>
      </w:r>
      <w:proofErr w:type="spellEnd"/>
      <w:r>
        <w:rPr>
          <w:i/>
          <w:sz w:val="20"/>
          <w:szCs w:val="20"/>
        </w:rPr>
        <w:t xml:space="preserve"> Project</w:t>
      </w:r>
      <w:r>
        <w:rPr>
          <w:sz w:val="20"/>
          <w:szCs w:val="20"/>
        </w:rPr>
        <w:t xml:space="preserve">. (s. f.). </w:t>
      </w:r>
      <w:hyperlink r:id="rId17">
        <w:r>
          <w:rPr>
            <w:color w:val="1155CC"/>
            <w:sz w:val="20"/>
            <w:szCs w:val="20"/>
            <w:u w:val="single"/>
          </w:rPr>
          <w:t>https://digitalhate.net/inicio.php?year=_2023</w:t>
        </w:r>
      </w:hyperlink>
      <w:r>
        <w:rPr>
          <w:sz w:val="20"/>
          <w:szCs w:val="20"/>
        </w:rPr>
        <w:t xml:space="preserve"> </w:t>
      </w:r>
    </w:p>
  </w:footnote>
  <w:footnote w:id="23">
    <w:p w:rsidR="0086247D" w:rsidRDefault="00FD1535">
      <w:pPr>
        <w:pBdr>
          <w:top w:val="nil"/>
          <w:left w:val="nil"/>
          <w:bottom w:val="nil"/>
          <w:right w:val="nil"/>
          <w:between w:val="nil"/>
        </w:pBdr>
        <w:rPr>
          <w:sz w:val="20"/>
          <w:szCs w:val="20"/>
        </w:rPr>
      </w:pPr>
      <w:r>
        <w:rPr>
          <w:vertAlign w:val="superscript"/>
        </w:rPr>
        <w:footnoteRef/>
      </w:r>
      <w:proofErr w:type="spellStart"/>
      <w:r>
        <w:rPr>
          <w:sz w:val="20"/>
          <w:szCs w:val="20"/>
        </w:rPr>
        <w:t>The</w:t>
      </w:r>
      <w:proofErr w:type="spellEnd"/>
      <w:r>
        <w:rPr>
          <w:sz w:val="20"/>
          <w:szCs w:val="20"/>
        </w:rPr>
        <w:t xml:space="preserve"> </w:t>
      </w:r>
      <w:proofErr w:type="spellStart"/>
      <w:r>
        <w:rPr>
          <w:sz w:val="20"/>
          <w:szCs w:val="20"/>
        </w:rPr>
        <w:t>Dark</w:t>
      </w:r>
      <w:proofErr w:type="spellEnd"/>
      <w:r>
        <w:rPr>
          <w:sz w:val="20"/>
          <w:szCs w:val="20"/>
        </w:rPr>
        <w:t xml:space="preserve"> </w:t>
      </w:r>
      <w:proofErr w:type="spellStart"/>
      <w:r>
        <w:rPr>
          <w:sz w:val="20"/>
          <w:szCs w:val="20"/>
        </w:rPr>
        <w:t>Side</w:t>
      </w:r>
      <w:proofErr w:type="spellEnd"/>
      <w:r>
        <w:rPr>
          <w:sz w:val="20"/>
          <w:szCs w:val="20"/>
        </w:rPr>
        <w:t xml:space="preserve"> of Social Media: </w:t>
      </w:r>
      <w:proofErr w:type="spellStart"/>
      <w:r>
        <w:rPr>
          <w:sz w:val="20"/>
          <w:szCs w:val="20"/>
        </w:rPr>
        <w:t>How</w:t>
      </w:r>
      <w:proofErr w:type="spellEnd"/>
      <w:r>
        <w:rPr>
          <w:sz w:val="20"/>
          <w:szCs w:val="20"/>
        </w:rPr>
        <w:t xml:space="preserve"> </w:t>
      </w:r>
      <w:proofErr w:type="spellStart"/>
      <w:r>
        <w:rPr>
          <w:sz w:val="20"/>
          <w:szCs w:val="20"/>
        </w:rPr>
        <w:t>it</w:t>
      </w:r>
      <w:proofErr w:type="spellEnd"/>
      <w:r>
        <w:rPr>
          <w:sz w:val="20"/>
          <w:szCs w:val="20"/>
        </w:rPr>
        <w:t xml:space="preserve"> </w:t>
      </w:r>
      <w:proofErr w:type="spellStart"/>
      <w:r>
        <w:rPr>
          <w:sz w:val="20"/>
          <w:szCs w:val="20"/>
        </w:rPr>
        <w:t>Fuels</w:t>
      </w:r>
      <w:proofErr w:type="spellEnd"/>
      <w:r>
        <w:rPr>
          <w:sz w:val="20"/>
          <w:szCs w:val="20"/>
        </w:rPr>
        <w:t xml:space="preserve"> </w:t>
      </w:r>
      <w:proofErr w:type="spellStart"/>
      <w:r>
        <w:rPr>
          <w:sz w:val="20"/>
          <w:szCs w:val="20"/>
        </w:rPr>
        <w:t>Antisemitism</w:t>
      </w:r>
      <w:proofErr w:type="spellEnd"/>
      <w:r>
        <w:rPr>
          <w:sz w:val="20"/>
          <w:szCs w:val="20"/>
        </w:rPr>
        <w:t xml:space="preserve">. (s. f.). </w:t>
      </w:r>
      <w:proofErr w:type="spellStart"/>
      <w:r>
        <w:rPr>
          <w:sz w:val="20"/>
          <w:szCs w:val="20"/>
        </w:rPr>
        <w:t>May</w:t>
      </w:r>
      <w:proofErr w:type="spellEnd"/>
      <w:r>
        <w:rPr>
          <w:sz w:val="20"/>
          <w:szCs w:val="20"/>
        </w:rPr>
        <w:t xml:space="preserve"> | 2022 | </w:t>
      </w:r>
      <w:proofErr w:type="spellStart"/>
      <w:r>
        <w:rPr>
          <w:sz w:val="20"/>
          <w:szCs w:val="20"/>
        </w:rPr>
        <w:t>The</w:t>
      </w:r>
      <w:proofErr w:type="spellEnd"/>
      <w:r>
        <w:rPr>
          <w:sz w:val="20"/>
          <w:szCs w:val="20"/>
        </w:rPr>
        <w:t xml:space="preserve"> </w:t>
      </w:r>
      <w:proofErr w:type="spellStart"/>
      <w:r>
        <w:rPr>
          <w:sz w:val="20"/>
          <w:szCs w:val="20"/>
        </w:rPr>
        <w:t>Jewish</w:t>
      </w:r>
      <w:proofErr w:type="spellEnd"/>
      <w:r>
        <w:rPr>
          <w:sz w:val="20"/>
          <w:szCs w:val="20"/>
        </w:rPr>
        <w:t xml:space="preserve"> </w:t>
      </w:r>
      <w:proofErr w:type="spellStart"/>
      <w:r>
        <w:rPr>
          <w:sz w:val="20"/>
          <w:szCs w:val="20"/>
        </w:rPr>
        <w:t>Experience</w:t>
      </w:r>
      <w:proofErr w:type="spellEnd"/>
      <w:r>
        <w:rPr>
          <w:sz w:val="20"/>
          <w:szCs w:val="20"/>
        </w:rPr>
        <w:t xml:space="preserve"> | </w:t>
      </w:r>
      <w:proofErr w:type="spellStart"/>
      <w:r>
        <w:rPr>
          <w:sz w:val="20"/>
          <w:szCs w:val="20"/>
        </w:rPr>
        <w:t>Brandeis</w:t>
      </w:r>
      <w:proofErr w:type="spellEnd"/>
      <w:r>
        <w:rPr>
          <w:sz w:val="20"/>
          <w:szCs w:val="20"/>
        </w:rPr>
        <w:t xml:space="preserve"> </w:t>
      </w:r>
      <w:proofErr w:type="spellStart"/>
      <w:r>
        <w:rPr>
          <w:sz w:val="20"/>
          <w:szCs w:val="20"/>
        </w:rPr>
        <w:t>University</w:t>
      </w:r>
      <w:proofErr w:type="spellEnd"/>
      <w:r>
        <w:rPr>
          <w:sz w:val="20"/>
          <w:szCs w:val="20"/>
        </w:rPr>
        <w:t xml:space="preserve">. </w:t>
      </w:r>
      <w:hyperlink r:id="rId18">
        <w:r>
          <w:rPr>
            <w:color w:val="1155CC"/>
            <w:sz w:val="20"/>
            <w:szCs w:val="20"/>
            <w:u w:val="single"/>
          </w:rPr>
          <w:t>https://www.brandeis.edu/jewish-experience/social-justice/2022/may/antisemitism-social-media.html</w:t>
        </w:r>
      </w:hyperlink>
      <w:r>
        <w:rPr>
          <w:sz w:val="20"/>
          <w:szCs w:val="20"/>
        </w:rPr>
        <w:t xml:space="preserve"> </w:t>
      </w:r>
    </w:p>
  </w:footnote>
  <w:footnote w:id="24">
    <w:p w:rsidR="0086247D" w:rsidRDefault="00FD1535">
      <w:pPr>
        <w:rPr>
          <w:sz w:val="16"/>
          <w:szCs w:val="16"/>
        </w:rPr>
      </w:pPr>
      <w:r>
        <w:rPr>
          <w:vertAlign w:val="superscript"/>
        </w:rPr>
        <w:footnoteRef/>
      </w:r>
      <w:r>
        <w:rPr>
          <w:sz w:val="20"/>
          <w:szCs w:val="20"/>
        </w:rPr>
        <w:t xml:space="preserve"> </w:t>
      </w:r>
      <w:proofErr w:type="spellStart"/>
      <w:r>
        <w:rPr>
          <w:sz w:val="20"/>
          <w:szCs w:val="20"/>
        </w:rPr>
        <w:t>Padinger</w:t>
      </w:r>
      <w:proofErr w:type="spellEnd"/>
      <w:r>
        <w:rPr>
          <w:sz w:val="20"/>
          <w:szCs w:val="20"/>
        </w:rPr>
        <w:t xml:space="preserve">, G. (2023, 9 noviembre). </w:t>
      </w:r>
      <w:r>
        <w:rPr>
          <w:i/>
          <w:sz w:val="20"/>
          <w:szCs w:val="20"/>
        </w:rPr>
        <w:t>¿Qué es el antisemitismo? Historia y actualidad</w:t>
      </w:r>
      <w:r>
        <w:rPr>
          <w:sz w:val="20"/>
          <w:szCs w:val="20"/>
        </w:rPr>
        <w:t xml:space="preserve">. CNN. </w:t>
      </w:r>
      <w:hyperlink r:id="rId19">
        <w:r>
          <w:rPr>
            <w:color w:val="1155CC"/>
            <w:sz w:val="20"/>
            <w:szCs w:val="20"/>
            <w:u w:val="single"/>
          </w:rPr>
          <w:t>https://cnnespanol.cnn.com/2023/11/09/que-es-antisemitismo-historia-orix/</w:t>
        </w:r>
      </w:hyperlink>
      <w:r>
        <w:rPr>
          <w:sz w:val="20"/>
          <w:szCs w:val="20"/>
        </w:rPr>
        <w:t xml:space="preserve"> </w:t>
      </w:r>
    </w:p>
  </w:footnote>
  <w:footnote w:id="25">
    <w:p w:rsidR="0086247D" w:rsidRDefault="00FD1535">
      <w:pPr>
        <w:rPr>
          <w:sz w:val="16"/>
          <w:szCs w:val="16"/>
        </w:rPr>
      </w:pPr>
      <w:r>
        <w:rPr>
          <w:vertAlign w:val="superscript"/>
        </w:rPr>
        <w:footnoteRef/>
      </w:r>
      <w:r>
        <w:rPr>
          <w:sz w:val="20"/>
          <w:szCs w:val="20"/>
        </w:rPr>
        <w:t xml:space="preserve"> </w:t>
      </w:r>
      <w:proofErr w:type="spellStart"/>
      <w:r>
        <w:rPr>
          <w:sz w:val="20"/>
          <w:szCs w:val="20"/>
        </w:rPr>
        <w:t>Mhadhbi</w:t>
      </w:r>
      <w:proofErr w:type="spellEnd"/>
      <w:r>
        <w:rPr>
          <w:sz w:val="20"/>
          <w:szCs w:val="20"/>
        </w:rPr>
        <w:t xml:space="preserve">, A. (2023, 8 noviembre). Guerra Israel - Hamás: las cifras récord de muertes y devastación que dejó el primer mes de conflicto. </w:t>
      </w:r>
      <w:r>
        <w:rPr>
          <w:i/>
          <w:sz w:val="20"/>
          <w:szCs w:val="20"/>
        </w:rPr>
        <w:t>BBC News Mundo</w:t>
      </w:r>
      <w:r>
        <w:rPr>
          <w:sz w:val="20"/>
          <w:szCs w:val="20"/>
        </w:rPr>
        <w:t xml:space="preserve">. </w:t>
      </w:r>
      <w:hyperlink r:id="rId20">
        <w:r>
          <w:rPr>
            <w:color w:val="1155CC"/>
            <w:sz w:val="20"/>
            <w:szCs w:val="20"/>
            <w:u w:val="single"/>
          </w:rPr>
          <w:t>https://www.bbc.com/mundo/articles/cz723x8198do</w:t>
        </w:r>
      </w:hyperlink>
      <w:r>
        <w:rPr>
          <w:sz w:val="20"/>
          <w:szCs w:val="20"/>
        </w:rPr>
        <w:t xml:space="preserve"> </w:t>
      </w:r>
    </w:p>
  </w:footnote>
  <w:footnote w:id="26">
    <w:p w:rsidR="0086247D" w:rsidRDefault="00FD1535">
      <w:pPr>
        <w:rPr>
          <w:sz w:val="16"/>
          <w:szCs w:val="16"/>
        </w:rPr>
      </w:pPr>
      <w:r>
        <w:rPr>
          <w:vertAlign w:val="superscript"/>
        </w:rPr>
        <w:footnoteRef/>
      </w:r>
      <w:r>
        <w:rPr>
          <w:sz w:val="20"/>
          <w:szCs w:val="20"/>
        </w:rPr>
        <w:t xml:space="preserve"> </w:t>
      </w:r>
      <w:proofErr w:type="spellStart"/>
      <w:r>
        <w:rPr>
          <w:i/>
          <w:sz w:val="20"/>
          <w:szCs w:val="20"/>
        </w:rPr>
        <w:t>Bring</w:t>
      </w:r>
      <w:proofErr w:type="spellEnd"/>
      <w:r>
        <w:rPr>
          <w:i/>
          <w:sz w:val="20"/>
          <w:szCs w:val="20"/>
        </w:rPr>
        <w:t xml:space="preserve"> </w:t>
      </w:r>
      <w:proofErr w:type="spellStart"/>
      <w:r>
        <w:rPr>
          <w:i/>
          <w:sz w:val="20"/>
          <w:szCs w:val="20"/>
        </w:rPr>
        <w:t>them</w:t>
      </w:r>
      <w:proofErr w:type="spellEnd"/>
      <w:r>
        <w:rPr>
          <w:i/>
          <w:sz w:val="20"/>
          <w:szCs w:val="20"/>
        </w:rPr>
        <w:t xml:space="preserve"> home </w:t>
      </w:r>
      <w:proofErr w:type="spellStart"/>
      <w:proofErr w:type="gramStart"/>
      <w:r>
        <w:rPr>
          <w:i/>
          <w:sz w:val="20"/>
          <w:szCs w:val="20"/>
        </w:rPr>
        <w:t>now</w:t>
      </w:r>
      <w:proofErr w:type="spellEnd"/>
      <w:r>
        <w:rPr>
          <w:i/>
          <w:sz w:val="20"/>
          <w:szCs w:val="20"/>
        </w:rPr>
        <w:t> :</w:t>
      </w:r>
      <w:proofErr w:type="gramEnd"/>
      <w:r>
        <w:rPr>
          <w:i/>
          <w:sz w:val="20"/>
          <w:szCs w:val="20"/>
        </w:rPr>
        <w:t xml:space="preserve"> </w:t>
      </w:r>
      <w:proofErr w:type="spellStart"/>
      <w:r>
        <w:rPr>
          <w:i/>
          <w:sz w:val="20"/>
          <w:szCs w:val="20"/>
        </w:rPr>
        <w:t>Israeli</w:t>
      </w:r>
      <w:proofErr w:type="spellEnd"/>
      <w:r>
        <w:rPr>
          <w:i/>
          <w:sz w:val="20"/>
          <w:szCs w:val="20"/>
        </w:rPr>
        <w:t xml:space="preserve"> </w:t>
      </w:r>
      <w:proofErr w:type="spellStart"/>
      <w:r>
        <w:rPr>
          <w:i/>
          <w:sz w:val="20"/>
          <w:szCs w:val="20"/>
        </w:rPr>
        <w:t>hostages</w:t>
      </w:r>
      <w:proofErr w:type="spellEnd"/>
      <w:r>
        <w:rPr>
          <w:i/>
          <w:sz w:val="20"/>
          <w:szCs w:val="20"/>
        </w:rPr>
        <w:t xml:space="preserve"> </w:t>
      </w:r>
      <w:proofErr w:type="spellStart"/>
      <w:r>
        <w:rPr>
          <w:i/>
          <w:sz w:val="20"/>
          <w:szCs w:val="20"/>
        </w:rPr>
        <w:t>taken</w:t>
      </w:r>
      <w:proofErr w:type="spellEnd"/>
      <w:r>
        <w:rPr>
          <w:i/>
          <w:sz w:val="20"/>
          <w:szCs w:val="20"/>
        </w:rPr>
        <w:t xml:space="preserve"> </w:t>
      </w:r>
      <w:proofErr w:type="spellStart"/>
      <w:r>
        <w:rPr>
          <w:i/>
          <w:sz w:val="20"/>
          <w:szCs w:val="20"/>
        </w:rPr>
        <w:t>by</w:t>
      </w:r>
      <w:proofErr w:type="spellEnd"/>
      <w:r>
        <w:rPr>
          <w:i/>
          <w:sz w:val="20"/>
          <w:szCs w:val="20"/>
        </w:rPr>
        <w:t xml:space="preserve"> Hamas</w:t>
      </w:r>
      <w:r>
        <w:rPr>
          <w:sz w:val="20"/>
          <w:szCs w:val="20"/>
        </w:rPr>
        <w:t xml:space="preserve">. (s. f.). </w:t>
      </w:r>
      <w:hyperlink r:id="rId21">
        <w:r>
          <w:rPr>
            <w:color w:val="1155CC"/>
            <w:sz w:val="20"/>
            <w:szCs w:val="20"/>
            <w:u w:val="single"/>
          </w:rPr>
          <w:t>https://stories.bringthemhomenow.net/</w:t>
        </w:r>
      </w:hyperlink>
      <w:r>
        <w:rPr>
          <w:sz w:val="20"/>
          <w:szCs w:val="20"/>
        </w:rPr>
        <w:t xml:space="preserve"> </w:t>
      </w:r>
    </w:p>
  </w:footnote>
  <w:footnote w:id="27">
    <w:p w:rsidR="0086247D" w:rsidRDefault="00FD1535">
      <w:pPr>
        <w:pBdr>
          <w:top w:val="nil"/>
          <w:left w:val="nil"/>
          <w:bottom w:val="nil"/>
          <w:right w:val="nil"/>
          <w:between w:val="nil"/>
        </w:pBdr>
        <w:rPr>
          <w:sz w:val="20"/>
          <w:szCs w:val="20"/>
        </w:rPr>
      </w:pPr>
      <w:r>
        <w:rPr>
          <w:vertAlign w:val="superscript"/>
        </w:rPr>
        <w:footnoteRef/>
      </w:r>
      <w:proofErr w:type="spellStart"/>
      <w:r>
        <w:rPr>
          <w:sz w:val="20"/>
          <w:szCs w:val="20"/>
        </w:rPr>
        <w:t>Strack</w:t>
      </w:r>
      <w:proofErr w:type="spellEnd"/>
      <w:r>
        <w:rPr>
          <w:sz w:val="20"/>
          <w:szCs w:val="20"/>
        </w:rPr>
        <w:t xml:space="preserve">, C. (2023, 14 diciembre). El terror de Hamás: la violencia sexual como arma. dw.com. </w:t>
      </w:r>
      <w:hyperlink r:id="rId22">
        <w:r>
          <w:rPr>
            <w:color w:val="1155CC"/>
            <w:sz w:val="20"/>
            <w:szCs w:val="20"/>
            <w:u w:val="single"/>
          </w:rPr>
          <w:t>https://www.dw.com/es/el-terror-de-ham%C3%A1s-la-violencia-sexual-como-arma/a-67725529</w:t>
        </w:r>
      </w:hyperlink>
      <w:r>
        <w:rPr>
          <w:sz w:val="20"/>
          <w:szCs w:val="20"/>
        </w:rPr>
        <w:t xml:space="preserve">  </w:t>
      </w:r>
    </w:p>
  </w:footnote>
  <w:footnote w:id="28">
    <w:p w:rsidR="0086247D" w:rsidRDefault="00FD1535">
      <w:pPr>
        <w:rPr>
          <w:sz w:val="16"/>
          <w:szCs w:val="16"/>
        </w:rPr>
      </w:pPr>
      <w:r>
        <w:rPr>
          <w:vertAlign w:val="superscript"/>
        </w:rPr>
        <w:footnoteRef/>
      </w:r>
      <w:r>
        <w:rPr>
          <w:sz w:val="20"/>
          <w:szCs w:val="20"/>
        </w:rPr>
        <w:t xml:space="preserve"> </w:t>
      </w:r>
      <w:r>
        <w:rPr>
          <w:i/>
          <w:sz w:val="20"/>
          <w:szCs w:val="20"/>
        </w:rPr>
        <w:t>Declaración de ONU Mujeres sobre la situación en Israel y Gaza | ONU Mujeres</w:t>
      </w:r>
      <w:r>
        <w:rPr>
          <w:sz w:val="20"/>
          <w:szCs w:val="20"/>
        </w:rPr>
        <w:t xml:space="preserve">. (s. f.). ONU Mujeres. </w:t>
      </w:r>
      <w:hyperlink r:id="rId23">
        <w:r>
          <w:rPr>
            <w:color w:val="1155CC"/>
            <w:sz w:val="20"/>
            <w:szCs w:val="20"/>
            <w:u w:val="single"/>
          </w:rPr>
          <w:t>https://www.unwomen.org/es/noticias/declaracion/2023/12/declaracion-de-onu-mujeres-sobre-la-situacion-en-israel-y-gaza</w:t>
        </w:r>
      </w:hyperlink>
      <w:r>
        <w:rPr>
          <w:sz w:val="20"/>
          <w:szCs w:val="20"/>
        </w:rPr>
        <w:t xml:space="preserve"> </w:t>
      </w:r>
    </w:p>
  </w:footnote>
  <w:footnote w:id="29">
    <w:p w:rsidR="0086247D" w:rsidRDefault="00FD1535">
      <w:pPr>
        <w:rPr>
          <w:sz w:val="16"/>
          <w:szCs w:val="16"/>
        </w:rPr>
      </w:pPr>
      <w:r>
        <w:rPr>
          <w:vertAlign w:val="superscript"/>
        </w:rPr>
        <w:footnoteRef/>
      </w:r>
      <w:r>
        <w:rPr>
          <w:sz w:val="20"/>
          <w:szCs w:val="20"/>
        </w:rPr>
        <w:t xml:space="preserve"> Breen-</w:t>
      </w:r>
      <w:proofErr w:type="spellStart"/>
      <w:r>
        <w:rPr>
          <w:sz w:val="20"/>
          <w:szCs w:val="20"/>
        </w:rPr>
        <w:t>Portnoy</w:t>
      </w:r>
      <w:proofErr w:type="spellEnd"/>
      <w:r>
        <w:rPr>
          <w:sz w:val="20"/>
          <w:szCs w:val="20"/>
        </w:rPr>
        <w:t xml:space="preserve">, B. (2024, 12 enero). </w:t>
      </w:r>
      <w:r>
        <w:rPr>
          <w:i/>
          <w:sz w:val="20"/>
          <w:szCs w:val="20"/>
        </w:rPr>
        <w:t xml:space="preserve">Ten </w:t>
      </w:r>
      <w:proofErr w:type="spellStart"/>
      <w:r>
        <w:rPr>
          <w:i/>
          <w:sz w:val="20"/>
          <w:szCs w:val="20"/>
        </w:rPr>
        <w:t>Most</w:t>
      </w:r>
      <w:proofErr w:type="spellEnd"/>
      <w:r>
        <w:rPr>
          <w:i/>
          <w:sz w:val="20"/>
          <w:szCs w:val="20"/>
        </w:rPr>
        <w:t xml:space="preserve"> </w:t>
      </w:r>
      <w:proofErr w:type="spellStart"/>
      <w:r>
        <w:rPr>
          <w:i/>
          <w:sz w:val="20"/>
          <w:szCs w:val="20"/>
        </w:rPr>
        <w:t>Shocking</w:t>
      </w:r>
      <w:proofErr w:type="spellEnd"/>
      <w:r>
        <w:rPr>
          <w:i/>
          <w:sz w:val="20"/>
          <w:szCs w:val="20"/>
        </w:rPr>
        <w:t xml:space="preserve"> </w:t>
      </w:r>
      <w:proofErr w:type="spellStart"/>
      <w:r>
        <w:rPr>
          <w:i/>
          <w:sz w:val="20"/>
          <w:szCs w:val="20"/>
        </w:rPr>
        <w:t>Antisemitic</w:t>
      </w:r>
      <w:proofErr w:type="spellEnd"/>
      <w:r>
        <w:rPr>
          <w:i/>
          <w:sz w:val="20"/>
          <w:szCs w:val="20"/>
        </w:rPr>
        <w:t xml:space="preserve"> </w:t>
      </w:r>
      <w:proofErr w:type="spellStart"/>
      <w:r>
        <w:rPr>
          <w:i/>
          <w:sz w:val="20"/>
          <w:szCs w:val="20"/>
        </w:rPr>
        <w:t>Incidents</w:t>
      </w:r>
      <w:proofErr w:type="spellEnd"/>
      <w:r>
        <w:rPr>
          <w:i/>
          <w:sz w:val="20"/>
          <w:szCs w:val="20"/>
        </w:rPr>
        <w:t xml:space="preserve"> of </w:t>
      </w:r>
      <w:proofErr w:type="spellStart"/>
      <w:r>
        <w:rPr>
          <w:i/>
          <w:sz w:val="20"/>
          <w:szCs w:val="20"/>
        </w:rPr>
        <w:t>December</w:t>
      </w:r>
      <w:proofErr w:type="spellEnd"/>
      <w:r>
        <w:rPr>
          <w:i/>
          <w:sz w:val="20"/>
          <w:szCs w:val="20"/>
        </w:rPr>
        <w:t xml:space="preserve"> 2023</w:t>
      </w:r>
      <w:r>
        <w:rPr>
          <w:sz w:val="20"/>
          <w:szCs w:val="20"/>
        </w:rPr>
        <w:t xml:space="preserve">. </w:t>
      </w:r>
      <w:proofErr w:type="spellStart"/>
      <w:r>
        <w:rPr>
          <w:sz w:val="20"/>
          <w:szCs w:val="20"/>
        </w:rPr>
        <w:t>Combat</w:t>
      </w:r>
      <w:proofErr w:type="spellEnd"/>
      <w:r>
        <w:rPr>
          <w:sz w:val="20"/>
          <w:szCs w:val="20"/>
        </w:rPr>
        <w:t xml:space="preserve"> </w:t>
      </w:r>
      <w:proofErr w:type="spellStart"/>
      <w:r>
        <w:rPr>
          <w:sz w:val="20"/>
          <w:szCs w:val="20"/>
        </w:rPr>
        <w:t>Antisemitism</w:t>
      </w:r>
      <w:proofErr w:type="spellEnd"/>
      <w:r>
        <w:rPr>
          <w:sz w:val="20"/>
          <w:szCs w:val="20"/>
        </w:rPr>
        <w:t xml:space="preserve"> </w:t>
      </w:r>
      <w:proofErr w:type="spellStart"/>
      <w:r>
        <w:rPr>
          <w:sz w:val="20"/>
          <w:szCs w:val="20"/>
        </w:rPr>
        <w:t>Movement</w:t>
      </w:r>
      <w:proofErr w:type="spellEnd"/>
      <w:r>
        <w:rPr>
          <w:sz w:val="20"/>
          <w:szCs w:val="20"/>
        </w:rPr>
        <w:t xml:space="preserve">. </w:t>
      </w:r>
      <w:hyperlink r:id="rId24">
        <w:r>
          <w:rPr>
            <w:color w:val="1155CC"/>
            <w:sz w:val="20"/>
            <w:szCs w:val="20"/>
            <w:u w:val="single"/>
          </w:rPr>
          <w:t>https://combatantisemitism.org/studies-reports/ten-most-shocking-antisemitic-incidents-of-december-2023/</w:t>
        </w:r>
      </w:hyperlink>
      <w:r>
        <w:rPr>
          <w:sz w:val="20"/>
          <w:szCs w:val="20"/>
        </w:rPr>
        <w:t xml:space="preserve"> </w:t>
      </w:r>
    </w:p>
  </w:footnote>
  <w:footnote w:id="30">
    <w:p w:rsidR="0086247D" w:rsidRDefault="00FD1535">
      <w:pPr>
        <w:rPr>
          <w:sz w:val="20"/>
          <w:szCs w:val="20"/>
        </w:rPr>
      </w:pPr>
      <w:r>
        <w:rPr>
          <w:vertAlign w:val="superscript"/>
        </w:rPr>
        <w:footnoteRef/>
      </w:r>
      <w:r>
        <w:rPr>
          <w:sz w:val="20"/>
          <w:szCs w:val="20"/>
        </w:rPr>
        <w:t xml:space="preserve"> Sedano, R. (2021, 19 noviembre). Polémica en Colombia por el uso de símbolos nazis en una actividad de una escuela policial. </w:t>
      </w:r>
      <w:r>
        <w:rPr>
          <w:i/>
          <w:sz w:val="20"/>
          <w:szCs w:val="20"/>
        </w:rPr>
        <w:t>France 24</w:t>
      </w:r>
      <w:r>
        <w:rPr>
          <w:sz w:val="20"/>
          <w:szCs w:val="20"/>
        </w:rPr>
        <w:t xml:space="preserve">. </w:t>
      </w:r>
      <w:hyperlink r:id="rId25">
        <w:r>
          <w:rPr>
            <w:color w:val="1155CC"/>
            <w:sz w:val="20"/>
            <w:szCs w:val="20"/>
            <w:u w:val="single"/>
          </w:rPr>
          <w:t>https://www.france24.com/es/am%C3%A9rica-latina/20211119-colombia-escuela-militar-tulua-simbolos-nazis</w:t>
        </w:r>
      </w:hyperlink>
      <w:r>
        <w:rPr>
          <w:sz w:val="20"/>
          <w:szCs w:val="20"/>
        </w:rPr>
        <w:t xml:space="preserve"> </w:t>
      </w:r>
    </w:p>
  </w:footnote>
  <w:footnote w:id="31">
    <w:p w:rsidR="0086247D" w:rsidRDefault="00FD1535">
      <w:pPr>
        <w:rPr>
          <w:sz w:val="20"/>
          <w:szCs w:val="20"/>
        </w:rPr>
      </w:pPr>
      <w:r>
        <w:rPr>
          <w:vertAlign w:val="superscript"/>
        </w:rPr>
        <w:footnoteRef/>
      </w:r>
      <w:r>
        <w:rPr>
          <w:sz w:val="20"/>
          <w:szCs w:val="20"/>
        </w:rPr>
        <w:t xml:space="preserve"> González, O. L. (2023, 18 septiembre). </w:t>
      </w:r>
      <w:r>
        <w:rPr>
          <w:i/>
          <w:sz w:val="20"/>
          <w:szCs w:val="20"/>
        </w:rPr>
        <w:t>Nazismo y antisemitismo, ¿banales en Colombia?</w:t>
      </w:r>
      <w:r>
        <w:rPr>
          <w:sz w:val="20"/>
          <w:szCs w:val="20"/>
        </w:rPr>
        <w:t xml:space="preserve"> La Silla Vacía. </w:t>
      </w:r>
      <w:hyperlink r:id="rId26">
        <w:r>
          <w:rPr>
            <w:color w:val="1155CC"/>
            <w:sz w:val="20"/>
            <w:szCs w:val="20"/>
            <w:u w:val="single"/>
          </w:rPr>
          <w:t>https://www.lasillavacia.com/opinion/nazismo-y-antisemitismo-banales-en-colombia/</w:t>
        </w:r>
      </w:hyperlink>
      <w:r>
        <w:rPr>
          <w:sz w:val="20"/>
          <w:szCs w:val="20"/>
        </w:rPr>
        <w:t xml:space="preserve"> </w:t>
      </w:r>
    </w:p>
  </w:footnote>
  <w:footnote w:id="32">
    <w:p w:rsidR="0086247D" w:rsidRDefault="00FD1535">
      <w:pPr>
        <w:rPr>
          <w:sz w:val="20"/>
          <w:szCs w:val="20"/>
        </w:rPr>
      </w:pPr>
      <w:r>
        <w:rPr>
          <w:vertAlign w:val="superscript"/>
        </w:rPr>
        <w:footnoteRef/>
      </w:r>
      <w:r>
        <w:rPr>
          <w:sz w:val="20"/>
          <w:szCs w:val="20"/>
        </w:rPr>
        <w:t xml:space="preserve"> Beltrán, D. (2023, 8 octubre). Embajada de Israel en Bogotá fue </w:t>
      </w:r>
      <w:proofErr w:type="spellStart"/>
      <w:r>
        <w:rPr>
          <w:sz w:val="20"/>
          <w:szCs w:val="20"/>
        </w:rPr>
        <w:t>vandalizada</w:t>
      </w:r>
      <w:proofErr w:type="spellEnd"/>
      <w:r>
        <w:rPr>
          <w:sz w:val="20"/>
          <w:szCs w:val="20"/>
        </w:rPr>
        <w:t xml:space="preserve"> por encapuchados. </w:t>
      </w:r>
      <w:proofErr w:type="spellStart"/>
      <w:r>
        <w:rPr>
          <w:i/>
          <w:sz w:val="20"/>
          <w:szCs w:val="20"/>
        </w:rPr>
        <w:t>Infobae</w:t>
      </w:r>
      <w:proofErr w:type="spellEnd"/>
      <w:r>
        <w:rPr>
          <w:sz w:val="20"/>
          <w:szCs w:val="20"/>
        </w:rPr>
        <w:t xml:space="preserve">. </w:t>
      </w:r>
      <w:hyperlink r:id="rId27" w:anchor=":~:text=Se%20conoci%C3%B3%20que%2C%20en%20las,c%C3%A1nticos%20en%20favor%20de%20Palestina">
        <w:r>
          <w:rPr>
            <w:color w:val="1155CC"/>
            <w:sz w:val="20"/>
            <w:szCs w:val="20"/>
            <w:u w:val="single"/>
          </w:rPr>
          <w:t>https://www.infobae.com/colombia/2023/10/08/la-embajada-de-israel-en-bogota-fue-atacada/#:~:text=Se%20conoci%C3%B3%20que%2C%20en%20las,c%C3%A1nticos%20en%20favor%20de%20Palestina</w:t>
        </w:r>
      </w:hyperlink>
      <w:r>
        <w:rPr>
          <w:sz w:val="20"/>
          <w:szCs w:val="20"/>
        </w:rPr>
        <w:t xml:space="preserve"> </w:t>
      </w:r>
    </w:p>
    <w:p w:rsidR="0086247D" w:rsidRDefault="0086247D">
      <w:pPr>
        <w:rPr>
          <w:sz w:val="20"/>
          <w:szCs w:val="20"/>
        </w:rPr>
      </w:pPr>
    </w:p>
  </w:footnote>
  <w:footnote w:id="33">
    <w:p w:rsidR="0086247D" w:rsidRDefault="00FD1535">
      <w:pPr>
        <w:rPr>
          <w:sz w:val="20"/>
          <w:szCs w:val="20"/>
        </w:rPr>
      </w:pPr>
      <w:r>
        <w:rPr>
          <w:vertAlign w:val="superscript"/>
        </w:rPr>
        <w:footnoteRef/>
      </w:r>
      <w:r>
        <w:rPr>
          <w:sz w:val="20"/>
          <w:szCs w:val="20"/>
        </w:rPr>
        <w:t xml:space="preserve"> </w:t>
      </w:r>
      <w:r>
        <w:rPr>
          <w:i/>
          <w:sz w:val="20"/>
          <w:szCs w:val="20"/>
        </w:rPr>
        <w:t>Confederación de Comunidades Judías de Colombia</w:t>
      </w:r>
      <w:r>
        <w:rPr>
          <w:sz w:val="20"/>
          <w:szCs w:val="20"/>
        </w:rPr>
        <w:t xml:space="preserve">. (s. f.). La Confederación de Comunidades Judías de Colombia Es el Organismo Representante de las Comunidades Judías del País Ante el Gobierno Nacional, las Instituciones del Estado Colombiano, las Organizaciones Internacionales Judías, el Estado de Israel y En General Ante Toda Organización Pública y Ante la Comunidad En General. </w:t>
      </w:r>
      <w:hyperlink r:id="rId28">
        <w:r>
          <w:rPr>
            <w:color w:val="1155CC"/>
            <w:sz w:val="20"/>
            <w:szCs w:val="20"/>
            <w:u w:val="single"/>
          </w:rPr>
          <w:t>https://ccjcolombia.org/Comunidad</w:t>
        </w:r>
      </w:hyperlink>
      <w:r>
        <w:rPr>
          <w:sz w:val="20"/>
          <w:szCs w:val="20"/>
        </w:rPr>
        <w:t xml:space="preserve"> </w:t>
      </w:r>
    </w:p>
    <w:p w:rsidR="0086247D" w:rsidRDefault="0086247D">
      <w:pPr>
        <w:rPr>
          <w:sz w:val="20"/>
          <w:szCs w:val="20"/>
        </w:rPr>
      </w:pPr>
    </w:p>
  </w:footnote>
  <w:footnote w:id="34">
    <w:p w:rsidR="0086247D" w:rsidRDefault="00FD1535">
      <w:pPr>
        <w:rPr>
          <w:sz w:val="20"/>
          <w:szCs w:val="20"/>
        </w:rPr>
      </w:pPr>
      <w:r>
        <w:rPr>
          <w:vertAlign w:val="superscript"/>
        </w:rPr>
        <w:footnoteRef/>
      </w:r>
      <w:r>
        <w:rPr>
          <w:sz w:val="20"/>
          <w:szCs w:val="20"/>
        </w:rPr>
        <w:t xml:space="preserve"> Modificado por el art. 2, Ley 1752 de 2015 que agrega la razón de discapacidad como razón de discriminación. </w:t>
      </w:r>
    </w:p>
  </w:footnote>
  <w:footnote w:id="35">
    <w:p w:rsidR="0086247D" w:rsidRDefault="00FD1535">
      <w:pPr>
        <w:rPr>
          <w:sz w:val="20"/>
          <w:szCs w:val="20"/>
        </w:rPr>
      </w:pPr>
      <w:r>
        <w:rPr>
          <w:vertAlign w:val="superscript"/>
        </w:rPr>
        <w:footnoteRef/>
      </w:r>
      <w:r>
        <w:rPr>
          <w:sz w:val="20"/>
          <w:szCs w:val="20"/>
        </w:rPr>
        <w:t xml:space="preserve"> Modificado por el art. 3, Ley 1752 de 2015 que agrega la razón de discapacidad como razón de discriminación.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47D" w:rsidRDefault="0086247D">
    <w:pPr>
      <w:widowControl w:val="0"/>
      <w:pBdr>
        <w:top w:val="nil"/>
        <w:left w:val="nil"/>
        <w:bottom w:val="nil"/>
        <w:right w:val="nil"/>
        <w:between w:val="nil"/>
      </w:pBdr>
      <w:spacing w:line="276" w:lineRule="auto"/>
      <w:rPr>
        <w:sz w:val="20"/>
        <w:szCs w:val="20"/>
      </w:rPr>
    </w:pPr>
  </w:p>
  <w:tbl>
    <w:tblPr>
      <w:tblStyle w:val="a"/>
      <w:tblW w:w="8830" w:type="dxa"/>
      <w:tblInd w:w="0" w:type="dxa"/>
      <w:tblLayout w:type="fixed"/>
      <w:tblLook w:val="0000" w:firstRow="0" w:lastRow="0" w:firstColumn="0" w:lastColumn="0" w:noHBand="0" w:noVBand="0"/>
    </w:tblPr>
    <w:tblGrid>
      <w:gridCol w:w="2361"/>
      <w:gridCol w:w="4235"/>
      <w:gridCol w:w="2234"/>
    </w:tblGrid>
    <w:tr w:rsidR="0086247D">
      <w:trPr>
        <w:trHeight w:val="454"/>
      </w:trPr>
      <w:tc>
        <w:tcPr>
          <w:tcW w:w="2361" w:type="dxa"/>
          <w:vMerge w:val="restart"/>
          <w:tcBorders>
            <w:top w:val="single" w:sz="4" w:space="0" w:color="000000"/>
            <w:left w:val="single" w:sz="4" w:space="0" w:color="000000"/>
            <w:right w:val="single" w:sz="4" w:space="0" w:color="000000"/>
          </w:tcBorders>
          <w:vAlign w:val="center"/>
        </w:tcPr>
        <w:p w:rsidR="0086247D" w:rsidRDefault="0086247D">
          <w:pPr>
            <w:jc w:val="center"/>
            <w:rPr>
              <w:sz w:val="16"/>
              <w:szCs w:val="16"/>
            </w:rPr>
          </w:pPr>
        </w:p>
      </w:tc>
      <w:tc>
        <w:tcPr>
          <w:tcW w:w="4235" w:type="dxa"/>
          <w:tcBorders>
            <w:top w:val="single" w:sz="4" w:space="0" w:color="000000"/>
            <w:left w:val="nil"/>
            <w:bottom w:val="single" w:sz="4" w:space="0" w:color="000000"/>
            <w:right w:val="single" w:sz="4" w:space="0" w:color="000000"/>
          </w:tcBorders>
          <w:vAlign w:val="center"/>
        </w:tcPr>
        <w:p w:rsidR="0086247D" w:rsidRDefault="00FD1535">
          <w:pPr>
            <w:jc w:val="center"/>
            <w:rPr>
              <w:sz w:val="20"/>
              <w:szCs w:val="20"/>
            </w:rPr>
          </w:pPr>
          <w:r>
            <w:rPr>
              <w:sz w:val="20"/>
              <w:szCs w:val="20"/>
            </w:rPr>
            <w:t>PROCESO GESTIÓN NORMATIVA</w:t>
          </w:r>
        </w:p>
      </w:tc>
      <w:tc>
        <w:tcPr>
          <w:tcW w:w="2234" w:type="dxa"/>
          <w:tcBorders>
            <w:top w:val="single" w:sz="4" w:space="0" w:color="000000"/>
            <w:left w:val="nil"/>
            <w:bottom w:val="single" w:sz="4" w:space="0" w:color="000000"/>
            <w:right w:val="single" w:sz="4" w:space="0" w:color="000000"/>
          </w:tcBorders>
          <w:vAlign w:val="center"/>
        </w:tcPr>
        <w:p w:rsidR="0086247D" w:rsidRDefault="00FD1535">
          <w:pPr>
            <w:rPr>
              <w:sz w:val="16"/>
              <w:szCs w:val="16"/>
            </w:rPr>
          </w:pPr>
          <w:r>
            <w:rPr>
              <w:sz w:val="16"/>
              <w:szCs w:val="16"/>
            </w:rPr>
            <w:t>CÓDIGO</w:t>
          </w:r>
          <w:r>
            <w:rPr>
              <w:color w:val="3366FF"/>
              <w:sz w:val="16"/>
              <w:szCs w:val="16"/>
            </w:rPr>
            <w:t xml:space="preserve">: </w:t>
          </w:r>
          <w:r>
            <w:rPr>
              <w:sz w:val="16"/>
              <w:szCs w:val="16"/>
            </w:rPr>
            <w:t>GNV-FO-001</w:t>
          </w:r>
        </w:p>
      </w:tc>
    </w:tr>
    <w:tr w:rsidR="0086247D">
      <w:trPr>
        <w:trHeight w:val="454"/>
      </w:trPr>
      <w:tc>
        <w:tcPr>
          <w:tcW w:w="2361" w:type="dxa"/>
          <w:vMerge/>
          <w:tcBorders>
            <w:top w:val="single" w:sz="4" w:space="0" w:color="000000"/>
            <w:left w:val="single" w:sz="4" w:space="0" w:color="000000"/>
            <w:right w:val="single" w:sz="4" w:space="0" w:color="000000"/>
          </w:tcBorders>
          <w:vAlign w:val="center"/>
        </w:tcPr>
        <w:p w:rsidR="0086247D" w:rsidRDefault="0086247D">
          <w:pPr>
            <w:widowControl w:val="0"/>
            <w:pBdr>
              <w:top w:val="nil"/>
              <w:left w:val="nil"/>
              <w:bottom w:val="nil"/>
              <w:right w:val="nil"/>
              <w:between w:val="nil"/>
            </w:pBdr>
            <w:spacing w:line="276" w:lineRule="auto"/>
            <w:rPr>
              <w:sz w:val="16"/>
              <w:szCs w:val="16"/>
            </w:rPr>
          </w:pPr>
        </w:p>
      </w:tc>
      <w:tc>
        <w:tcPr>
          <w:tcW w:w="4235" w:type="dxa"/>
          <w:vMerge w:val="restart"/>
          <w:tcBorders>
            <w:top w:val="single" w:sz="4" w:space="0" w:color="000000"/>
            <w:left w:val="nil"/>
            <w:right w:val="single" w:sz="4" w:space="0" w:color="000000"/>
          </w:tcBorders>
          <w:vAlign w:val="center"/>
        </w:tcPr>
        <w:p w:rsidR="0086247D" w:rsidRDefault="00FD1535">
          <w:pPr>
            <w:jc w:val="center"/>
            <w:rPr>
              <w:sz w:val="20"/>
              <w:szCs w:val="20"/>
            </w:rPr>
          </w:pPr>
          <w:r>
            <w:rPr>
              <w:sz w:val="20"/>
              <w:szCs w:val="20"/>
            </w:rPr>
            <w:t>PRESENTACIÓN PROYECTOS DE ACUERDO</w:t>
          </w:r>
        </w:p>
      </w:tc>
      <w:tc>
        <w:tcPr>
          <w:tcW w:w="2234" w:type="dxa"/>
          <w:tcBorders>
            <w:top w:val="single" w:sz="4" w:space="0" w:color="000000"/>
            <w:left w:val="nil"/>
            <w:bottom w:val="single" w:sz="4" w:space="0" w:color="000000"/>
            <w:right w:val="single" w:sz="4" w:space="0" w:color="000000"/>
          </w:tcBorders>
          <w:vAlign w:val="center"/>
        </w:tcPr>
        <w:p w:rsidR="0086247D" w:rsidRDefault="00FD1535">
          <w:pPr>
            <w:rPr>
              <w:sz w:val="16"/>
              <w:szCs w:val="16"/>
            </w:rPr>
          </w:pPr>
          <w:r>
            <w:rPr>
              <w:sz w:val="16"/>
              <w:szCs w:val="16"/>
            </w:rPr>
            <w:t>VERSIÓN:    02</w:t>
          </w:r>
        </w:p>
      </w:tc>
    </w:tr>
    <w:tr w:rsidR="0086247D">
      <w:trPr>
        <w:trHeight w:val="454"/>
      </w:trPr>
      <w:tc>
        <w:tcPr>
          <w:tcW w:w="2361" w:type="dxa"/>
          <w:vMerge/>
          <w:tcBorders>
            <w:top w:val="single" w:sz="4" w:space="0" w:color="000000"/>
            <w:left w:val="single" w:sz="4" w:space="0" w:color="000000"/>
            <w:right w:val="single" w:sz="4" w:space="0" w:color="000000"/>
          </w:tcBorders>
          <w:vAlign w:val="center"/>
        </w:tcPr>
        <w:p w:rsidR="0086247D" w:rsidRDefault="0086247D">
          <w:pPr>
            <w:widowControl w:val="0"/>
            <w:pBdr>
              <w:top w:val="nil"/>
              <w:left w:val="nil"/>
              <w:bottom w:val="nil"/>
              <w:right w:val="nil"/>
              <w:between w:val="nil"/>
            </w:pBdr>
            <w:spacing w:line="276" w:lineRule="auto"/>
            <w:rPr>
              <w:sz w:val="16"/>
              <w:szCs w:val="16"/>
            </w:rPr>
          </w:pPr>
        </w:p>
      </w:tc>
      <w:tc>
        <w:tcPr>
          <w:tcW w:w="4235" w:type="dxa"/>
          <w:vMerge/>
          <w:tcBorders>
            <w:top w:val="single" w:sz="4" w:space="0" w:color="000000"/>
            <w:left w:val="nil"/>
            <w:right w:val="single" w:sz="4" w:space="0" w:color="000000"/>
          </w:tcBorders>
          <w:vAlign w:val="center"/>
        </w:tcPr>
        <w:p w:rsidR="0086247D" w:rsidRDefault="0086247D">
          <w:pPr>
            <w:widowControl w:val="0"/>
            <w:pBdr>
              <w:top w:val="nil"/>
              <w:left w:val="nil"/>
              <w:bottom w:val="nil"/>
              <w:right w:val="nil"/>
              <w:between w:val="nil"/>
            </w:pBdr>
            <w:spacing w:line="276" w:lineRule="auto"/>
            <w:rPr>
              <w:sz w:val="16"/>
              <w:szCs w:val="16"/>
            </w:rPr>
          </w:pPr>
        </w:p>
      </w:tc>
      <w:tc>
        <w:tcPr>
          <w:tcW w:w="2234" w:type="dxa"/>
          <w:tcBorders>
            <w:top w:val="single" w:sz="4" w:space="0" w:color="000000"/>
            <w:left w:val="nil"/>
            <w:bottom w:val="single" w:sz="4" w:space="0" w:color="000000"/>
            <w:right w:val="single" w:sz="4" w:space="0" w:color="000000"/>
          </w:tcBorders>
          <w:vAlign w:val="center"/>
        </w:tcPr>
        <w:p w:rsidR="0086247D" w:rsidRDefault="00FD1535">
          <w:pPr>
            <w:rPr>
              <w:sz w:val="16"/>
              <w:szCs w:val="16"/>
            </w:rPr>
          </w:pPr>
          <w:r>
            <w:rPr>
              <w:sz w:val="16"/>
              <w:szCs w:val="16"/>
            </w:rPr>
            <w:t>FECHA: 14-Nov-2019</w:t>
          </w:r>
        </w:p>
      </w:tc>
    </w:tr>
  </w:tbl>
  <w:p w:rsidR="0086247D" w:rsidRDefault="00FD1535">
    <w:pPr>
      <w:pBdr>
        <w:top w:val="nil"/>
        <w:left w:val="nil"/>
        <w:bottom w:val="nil"/>
        <w:right w:val="nil"/>
        <w:between w:val="nil"/>
      </w:pBdr>
      <w:tabs>
        <w:tab w:val="center" w:pos="4252"/>
        <w:tab w:val="right" w:pos="8504"/>
      </w:tabs>
    </w:pPr>
    <w:r>
      <w:rPr>
        <w:noProof/>
        <w:lang w:val="es-CO"/>
      </w:rPr>
      <w:drawing>
        <wp:anchor distT="0" distB="0" distL="0" distR="0" simplePos="0" relativeHeight="251658240" behindDoc="1" locked="0" layoutInCell="1" hidden="0" allowOverlap="1">
          <wp:simplePos x="0" y="0"/>
          <wp:positionH relativeFrom="column">
            <wp:posOffset>441325</wp:posOffset>
          </wp:positionH>
          <wp:positionV relativeFrom="paragraph">
            <wp:posOffset>-890269</wp:posOffset>
          </wp:positionV>
          <wp:extent cx="752475" cy="885825"/>
          <wp:effectExtent l="0" t="0" r="0" b="0"/>
          <wp:wrapNone/>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F0F54"/>
    <w:multiLevelType w:val="multilevel"/>
    <w:tmpl w:val="989C13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5DC7E1F"/>
    <w:multiLevelType w:val="multilevel"/>
    <w:tmpl w:val="5EDA6362"/>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14024A22"/>
    <w:multiLevelType w:val="multilevel"/>
    <w:tmpl w:val="9B0C8B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0D00E57"/>
    <w:multiLevelType w:val="multilevel"/>
    <w:tmpl w:val="C5526C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6FB74B4"/>
    <w:multiLevelType w:val="multilevel"/>
    <w:tmpl w:val="D18C94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247D"/>
    <w:rsid w:val="003A1570"/>
    <w:rsid w:val="0086247D"/>
    <w:rsid w:val="00980BE7"/>
    <w:rsid w:val="00BA2B0D"/>
    <w:rsid w:val="00FD153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C4DAE"/>
  <w15:docId w15:val="{0BA4117F-28EC-4803-BB25-F84D3C117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ES"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8CA"/>
    <w:rPr>
      <w:color w:val="000000"/>
    </w:rPr>
  </w:style>
  <w:style w:type="paragraph" w:styleId="Ttulo1">
    <w:name w:val="heading 1"/>
    <w:basedOn w:val="Normal"/>
    <w:next w:val="Normal"/>
    <w:link w:val="Ttulo1Car"/>
    <w:uiPriority w:val="99"/>
    <w:qFormat/>
    <w:rsid w:val="00AE7E3B"/>
    <w:pPr>
      <w:keepNext/>
      <w:jc w:val="center"/>
      <w:outlineLvl w:val="0"/>
    </w:pPr>
    <w:rPr>
      <w:rFonts w:ascii="Times New Roman" w:hAnsi="Times New Roman"/>
      <w:color w:val="auto"/>
      <w:lang w:val="es-MX"/>
    </w:rPr>
  </w:style>
  <w:style w:type="paragraph" w:styleId="Ttulo2">
    <w:name w:val="heading 2"/>
    <w:basedOn w:val="Normal"/>
    <w:next w:val="Normal"/>
    <w:link w:val="Ttulo2Car"/>
    <w:uiPriority w:val="99"/>
    <w:qFormat/>
    <w:rsid w:val="00AE7E3B"/>
    <w:pPr>
      <w:keepNext/>
      <w:outlineLvl w:val="1"/>
    </w:pPr>
    <w:rPr>
      <w:rFonts w:ascii="Times New Roman" w:hAnsi="Times New Roman"/>
      <w:color w:val="auto"/>
      <w:lang w:val="es-MX"/>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link w:val="Ttulo4Car"/>
    <w:uiPriority w:val="99"/>
    <w:qFormat/>
    <w:rsid w:val="00BD4F10"/>
    <w:pPr>
      <w:keepNext/>
      <w:spacing w:before="240" w:after="60"/>
      <w:outlineLvl w:val="3"/>
    </w:pPr>
    <w:rPr>
      <w:rFonts w:ascii="Times New Roman" w:hAnsi="Times New Roman"/>
      <w:b/>
      <w:bCs/>
      <w:color w:val="auto"/>
      <w:sz w:val="28"/>
      <w:szCs w:val="28"/>
    </w:rPr>
  </w:style>
  <w:style w:type="paragraph" w:styleId="Ttulo5">
    <w:name w:val="heading 5"/>
    <w:basedOn w:val="Normal"/>
    <w:next w:val="Normal"/>
    <w:link w:val="Ttulo5Car"/>
    <w:uiPriority w:val="99"/>
    <w:qFormat/>
    <w:rsid w:val="00776D41"/>
    <w:pPr>
      <w:keepNext/>
      <w:keepLines/>
      <w:spacing w:before="200"/>
      <w:outlineLvl w:val="4"/>
    </w:pPr>
    <w:rPr>
      <w:rFonts w:ascii="Cambria" w:hAnsi="Cambria"/>
      <w:color w:val="243F60"/>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Ttulo1Car">
    <w:name w:val="Título 1 Car"/>
    <w:basedOn w:val="Fuentedeprrafopredeter"/>
    <w:link w:val="Ttulo1"/>
    <w:uiPriority w:val="99"/>
    <w:locked/>
    <w:rsid w:val="0078358A"/>
    <w:rPr>
      <w:rFonts w:ascii="Cambria" w:hAnsi="Cambria" w:cs="Times New Roman"/>
      <w:b/>
      <w:bCs/>
      <w:color w:val="000000"/>
      <w:kern w:val="32"/>
      <w:sz w:val="32"/>
      <w:szCs w:val="32"/>
    </w:rPr>
  </w:style>
  <w:style w:type="character" w:customStyle="1" w:styleId="Ttulo2Car">
    <w:name w:val="Título 2 Car"/>
    <w:basedOn w:val="Fuentedeprrafopredeter"/>
    <w:link w:val="Ttulo2"/>
    <w:uiPriority w:val="99"/>
    <w:semiHidden/>
    <w:locked/>
    <w:rsid w:val="0078358A"/>
    <w:rPr>
      <w:rFonts w:ascii="Cambria" w:hAnsi="Cambria" w:cs="Times New Roman"/>
      <w:b/>
      <w:bCs/>
      <w:i/>
      <w:iCs/>
      <w:color w:val="000000"/>
      <w:sz w:val="28"/>
      <w:szCs w:val="28"/>
    </w:rPr>
  </w:style>
  <w:style w:type="character" w:customStyle="1" w:styleId="Ttulo4Car">
    <w:name w:val="Título 4 Car"/>
    <w:basedOn w:val="Fuentedeprrafopredeter"/>
    <w:link w:val="Ttulo4"/>
    <w:uiPriority w:val="99"/>
    <w:locked/>
    <w:rsid w:val="00BD4F10"/>
    <w:rPr>
      <w:rFonts w:cs="Times New Roman"/>
      <w:b/>
      <w:sz w:val="28"/>
      <w:lang w:val="es-ES" w:eastAsia="es-ES"/>
    </w:rPr>
  </w:style>
  <w:style w:type="character" w:customStyle="1" w:styleId="Ttulo5Car">
    <w:name w:val="Título 5 Car"/>
    <w:basedOn w:val="Fuentedeprrafopredeter"/>
    <w:link w:val="Ttulo5"/>
    <w:uiPriority w:val="99"/>
    <w:semiHidden/>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style>
  <w:style w:type="character" w:customStyle="1" w:styleId="EncabezadoCar">
    <w:name w:val="Encabezado Car"/>
    <w:basedOn w:val="Fuentedeprrafopredeter"/>
    <w:link w:val="Encabezado"/>
    <w:uiPriority w:val="99"/>
    <w:semiHidden/>
    <w:locked/>
    <w:rsid w:val="0078358A"/>
    <w:rPr>
      <w:rFonts w:ascii="Arial" w:hAnsi="Arial" w:cs="Times New Roman"/>
      <w:color w:val="000000"/>
      <w:sz w:val="20"/>
      <w:szCs w:val="20"/>
    </w:rPr>
  </w:style>
  <w:style w:type="paragraph" w:styleId="Piedepgina">
    <w:name w:val="footer"/>
    <w:basedOn w:val="Normal"/>
    <w:link w:val="PiedepginaCar"/>
    <w:rsid w:val="00AE7E3B"/>
    <w:pPr>
      <w:tabs>
        <w:tab w:val="center" w:pos="4252"/>
        <w:tab w:val="right" w:pos="8504"/>
      </w:tabs>
    </w:pPr>
  </w:style>
  <w:style w:type="character" w:customStyle="1" w:styleId="PiedepginaCar">
    <w:name w:val="Pie de página Car"/>
    <w:basedOn w:val="Fuentedeprrafopredeter"/>
    <w:link w:val="Piedepgina"/>
    <w:locked/>
    <w:rsid w:val="0078358A"/>
    <w:rPr>
      <w:rFonts w:ascii="Arial" w:hAnsi="Arial" w:cs="Times New Roman"/>
      <w:color w:val="000000"/>
      <w:sz w:val="20"/>
      <w:szCs w:val="20"/>
    </w:rPr>
  </w:style>
  <w:style w:type="paragraph" w:styleId="Textoindependiente">
    <w:name w:val="Body Text"/>
    <w:basedOn w:val="Normal"/>
    <w:link w:val="TextoindependienteCar"/>
    <w:uiPriority w:val="99"/>
    <w:rsid w:val="00AE7E3B"/>
    <w:pPr>
      <w:jc w:val="both"/>
    </w:pPr>
    <w:rPr>
      <w:rFonts w:ascii="Times New Roman" w:hAnsi="Times New Roman"/>
      <w:color w:val="auto"/>
      <w:lang w:val="es-MX"/>
    </w:rPr>
  </w:style>
  <w:style w:type="character" w:customStyle="1" w:styleId="TextoindependienteCar">
    <w:name w:val="Texto independiente Car"/>
    <w:basedOn w:val="Fuentedeprrafopredeter"/>
    <w:link w:val="Textoindependiente"/>
    <w:uiPriority w:val="99"/>
    <w:semiHidden/>
    <w:locked/>
    <w:rsid w:val="0078358A"/>
    <w:rPr>
      <w:rFonts w:ascii="Arial" w:hAnsi="Arial" w:cs="Times New Roman"/>
      <w:color w:val="000000"/>
      <w:sz w:val="20"/>
      <w:szCs w:val="20"/>
    </w:rPr>
  </w:style>
  <w:style w:type="character" w:styleId="Refdecomentario">
    <w:name w:val="annotation reference"/>
    <w:basedOn w:val="Fuentedeprrafopredeter"/>
    <w:uiPriority w:val="99"/>
    <w:semiHidden/>
    <w:rsid w:val="00AE7E3B"/>
    <w:rPr>
      <w:rFonts w:cs="Times New Roman"/>
      <w:sz w:val="16"/>
    </w:rPr>
  </w:style>
  <w:style w:type="paragraph" w:styleId="Textocomentario">
    <w:name w:val="annotation text"/>
    <w:basedOn w:val="Normal"/>
    <w:link w:val="TextocomentarioCar"/>
    <w:uiPriority w:val="99"/>
    <w:semiHidden/>
    <w:rsid w:val="00AE7E3B"/>
    <w:rPr>
      <w:sz w:val="20"/>
    </w:rPr>
  </w:style>
  <w:style w:type="character" w:customStyle="1" w:styleId="TextocomentarioCar">
    <w:name w:val="Texto comentario Car"/>
    <w:basedOn w:val="Fuentedeprrafopredeter"/>
    <w:link w:val="Textocomentario"/>
    <w:uiPriority w:val="99"/>
    <w:semiHidden/>
    <w:locked/>
    <w:rsid w:val="0078358A"/>
    <w:rPr>
      <w:rFonts w:ascii="Arial" w:hAnsi="Arial" w:cs="Times New Roman"/>
      <w:color w:val="000000"/>
      <w:sz w:val="20"/>
      <w:szCs w:val="20"/>
    </w:rPr>
  </w:style>
  <w:style w:type="table" w:styleId="Tablaconcuadrcula">
    <w:name w:val="Table Grid"/>
    <w:basedOn w:val="Tablanormal"/>
    <w:uiPriority w:val="9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rPr>
      <w:rFonts w:ascii="Times New Roman" w:hAnsi="Times New Roman"/>
      <w:color w:val="auto"/>
    </w:r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sz w:val="16"/>
      <w:szCs w:val="16"/>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semiHidden/>
    <w:rsid w:val="00DD743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8358A"/>
    <w:rPr>
      <w:rFonts w:cs="Times New Roman"/>
      <w:color w:val="000000"/>
      <w:sz w:val="2"/>
    </w:rPr>
  </w:style>
  <w:style w:type="paragraph" w:styleId="Prrafodelista">
    <w:name w:val="List Paragraph"/>
    <w:basedOn w:val="Normal"/>
    <w:uiPriority w:val="99"/>
    <w:qFormat/>
    <w:rsid w:val="005C3311"/>
    <w:pPr>
      <w:ind w:left="708"/>
    </w:pPr>
  </w:style>
  <w:style w:type="paragraph" w:customStyle="1" w:styleId="Table">
    <w:name w:val="Table"/>
    <w:basedOn w:val="Normal"/>
    <w:autoRedefine/>
    <w:uiPriority w:val="99"/>
    <w:rsid w:val="006F04EF"/>
    <w:pPr>
      <w:spacing w:before="40" w:after="40"/>
      <w:ind w:left="4" w:hanging="4"/>
    </w:pPr>
    <w:rPr>
      <w:b/>
      <w:sz w:val="20"/>
      <w:lang w:val="en-GB" w:eastAsia="en-U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8" Type="http://schemas.openxmlformats.org/officeDocument/2006/relationships/hyperlink" Target="https://ccjcolombia.org/Detalle?id=23" TargetMode="External"/><Relationship Id="rId13" Type="http://schemas.openxmlformats.org/officeDocument/2006/relationships/hyperlink" Target="https://www.un.org/sustainabledevelopment/es/objetivos-de-desarrollo-sostenible/" TargetMode="External"/><Relationship Id="rId18" Type="http://schemas.openxmlformats.org/officeDocument/2006/relationships/hyperlink" Target="https://www.brandeis.edu/jewish-experience/social-justice/2022/may/antisemitism-social-media.html" TargetMode="External"/><Relationship Id="rId26" Type="http://schemas.openxmlformats.org/officeDocument/2006/relationships/hyperlink" Target="https://www.lasillavacia.com/opinion/nazismo-y-antisemitismo-banales-en-colombia/" TargetMode="External"/><Relationship Id="rId3" Type="http://schemas.openxmlformats.org/officeDocument/2006/relationships/hyperlink" Target="https://blog.legis.com.co/comercio-exterior/relaci%C3%B3n-comercial-entre-colombia-e-israel" TargetMode="External"/><Relationship Id="rId21" Type="http://schemas.openxmlformats.org/officeDocument/2006/relationships/hyperlink" Target="https://stories.bringthemhomenow.net/" TargetMode="External"/><Relationship Id="rId7" Type="http://schemas.openxmlformats.org/officeDocument/2006/relationships/hyperlink" Target="https://journals.openedition.org/alhim/535" TargetMode="External"/><Relationship Id="rId12" Type="http://schemas.openxmlformats.org/officeDocument/2006/relationships/hyperlink" Target="https://uvallsc.s3.amazonaws.com/travaux/s3fs-public/E-1986-22__E-CN_4-1986-65_0.pdf?null" TargetMode="External"/><Relationship Id="rId17" Type="http://schemas.openxmlformats.org/officeDocument/2006/relationships/hyperlink" Target="https://digitalhate.net/inicio.php?year=_2023" TargetMode="External"/><Relationship Id="rId25" Type="http://schemas.openxmlformats.org/officeDocument/2006/relationships/hyperlink" Target="https://www.france24.com/es/am%C3%A9rica-latina/20211119-colombia-escuela-militar-tulua-simbolos-nazis" TargetMode="External"/><Relationship Id="rId2" Type="http://schemas.openxmlformats.org/officeDocument/2006/relationships/hyperlink" Target="https://elordenmundial.com/israel-busca-la-tierra-prometida/" TargetMode="External"/><Relationship Id="rId16" Type="http://schemas.openxmlformats.org/officeDocument/2006/relationships/hyperlink" Target="https://www.osce.org/files/f/documents/8/4/444640.pdf" TargetMode="External"/><Relationship Id="rId20" Type="http://schemas.openxmlformats.org/officeDocument/2006/relationships/hyperlink" Target="https://www.bbc.com/mundo/articles/cz723x8198do" TargetMode="External"/><Relationship Id="rId1" Type="http://schemas.openxmlformats.org/officeDocument/2006/relationships/hyperlink" Target="https://embassies.gov.il/madrid/AboutIsrael/history/Pages/HISTORIA-Estado-Israel.aspx" TargetMode="External"/><Relationship Id="rId6" Type="http://schemas.openxmlformats.org/officeDocument/2006/relationships/hyperlink" Target="https://doi.org/10.4000/alhim.535" TargetMode="External"/><Relationship Id="rId11" Type="http://schemas.openxmlformats.org/officeDocument/2006/relationships/hyperlink" Target="https://www.refworld.org/legal/resolution/unchr/1986/en/13492" TargetMode="External"/><Relationship Id="rId24" Type="http://schemas.openxmlformats.org/officeDocument/2006/relationships/hyperlink" Target="https://combatantisemitism.org/studies-reports/ten-most-shocking-antisemitic-incidents-of-december-2023/" TargetMode="External"/><Relationship Id="rId5" Type="http://schemas.openxmlformats.org/officeDocument/2006/relationships/hyperlink" Target="https://ceeep.mil.pe/wp-content/uploads/2021/09/Hezbollah.-El-partido-de-Dios-su-idiosincrasia-y-su-posible-amenaza-global.pdf" TargetMode="External"/><Relationship Id="rId15" Type="http://schemas.openxmlformats.org/officeDocument/2006/relationships/hyperlink" Target="https://www.ohchr.org/es/special-procedures/sr-religion-or-belief/antisemitism" TargetMode="External"/><Relationship Id="rId23" Type="http://schemas.openxmlformats.org/officeDocument/2006/relationships/hyperlink" Target="https://www.unwomen.org/es/noticias/declaracion/2023/12/declaracion-de-onu-mujeres-sobre-la-situacion-en-israel-y-gaza" TargetMode="External"/><Relationship Id="rId28" Type="http://schemas.openxmlformats.org/officeDocument/2006/relationships/hyperlink" Target="https://ccjcolombia.org/Comunidad" TargetMode="External"/><Relationship Id="rId10" Type="http://schemas.openxmlformats.org/officeDocument/2006/relationships/hyperlink" Target="https://uvallsc.s3.amazonaws.com/travaux/s3fs-public/E-1986-22__E-CN_4-1986-65_0.pdf?null" TargetMode="External"/><Relationship Id="rId19" Type="http://schemas.openxmlformats.org/officeDocument/2006/relationships/hyperlink" Target="https://cnnespanol.cnn.com/2023/11/09/que-es-antisemitismo-historia-orix/" TargetMode="External"/><Relationship Id="rId4" Type="http://schemas.openxmlformats.org/officeDocument/2006/relationships/hyperlink" Target="https://www.semana.com/nacion/articulo/crisis-diplomatica-con-israel-la-historia-de-como-el-m-19-atento-dos-veces-contra-embajada-de-ese-pais-cuando-petro-militaba-en-esas-filas/202345/" TargetMode="External"/><Relationship Id="rId9" Type="http://schemas.openxmlformats.org/officeDocument/2006/relationships/hyperlink" Target="https://educacionbogota.edu.co/portal_institucional/noticia/bogota-participa-en-el-programa-internacional-de-la-unesco-de-educacion-sobre-el-holocausto" TargetMode="External"/><Relationship Id="rId14" Type="http://schemas.openxmlformats.org/officeDocument/2006/relationships/hyperlink" Target="https://www.yadvashem.org/es/holocaust/encyclopedia/antisemitismo.html" TargetMode="External"/><Relationship Id="rId22" Type="http://schemas.openxmlformats.org/officeDocument/2006/relationships/hyperlink" Target="https://www.dw.com/es/el-terror-de-ham%C3%A1s-la-violencia-sexual-como-arma/a-67725529" TargetMode="External"/><Relationship Id="rId27" Type="http://schemas.openxmlformats.org/officeDocument/2006/relationships/hyperlink" Target="https://www.infobae.com/colombia/2023/10/08/la-embajada-de-israel-en-bogota-fue-atacad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KaNzHvJsl3fMjmo4Px6EUvukzQ==">CgMxLjAyCGguZ2pkZ3hzMg5oLjQzdHBkYmthODl5MTIOaC4zdHB0ZHhwY2U1Y24yDmguNDN0cGRia2E4OXkxOAByITF6TS1HUnZzQVk0MmlpSnNoUTEwNU1POWVKUGliY09MRg==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27</Pages>
  <Words>6752</Words>
  <Characters>38016</Characters>
  <Application>Microsoft Office Word</Application>
  <DocSecurity>0</DocSecurity>
  <Lines>1584</Lines>
  <Paragraphs>658</Paragraphs>
  <ScaleCrop>false</ScaleCrop>
  <Company/>
  <LinksUpToDate>false</LinksUpToDate>
  <CharactersWithSpaces>44110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WILSON L. MORENO C.</dc:creator>
  <cp:lastModifiedBy>CLAUDIA TERESA SUAREZ NIÑO</cp:lastModifiedBy>
  <cp:revision>4</cp:revision>
  <dcterms:created xsi:type="dcterms:W3CDTF">2019-12-03T21:56:00Z</dcterms:created>
  <dcterms:modified xsi:type="dcterms:W3CDTF">2025-10-22T22:48:00Z</dcterms:modified>
</cp:coreProperties>
</file>